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715B" w14:textId="77777777" w:rsidR="0049127C" w:rsidRPr="00D96BDB" w:rsidRDefault="0049127C" w:rsidP="0049127C">
      <w:pPr>
        <w:jc w:val="center"/>
        <w:rPr>
          <w:rFonts w:ascii="Arial" w:hAnsi="Arial" w:cs="Arial"/>
          <w:sz w:val="32"/>
          <w:szCs w:val="28"/>
        </w:rPr>
      </w:pPr>
      <w:bookmarkStart w:id="0" w:name="_GoBack"/>
      <w:bookmarkEnd w:id="0"/>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4756D8"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4756D8"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4756D8"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4756D8"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4756D8"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4756D8"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4756D8"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7777777"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4A72964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lastRenderedPageBreak/>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lastRenderedPageBreak/>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7777777" w:rsidR="007A4391" w:rsidRDefault="00864C81" w:rsidP="00864C81">
      <w:pPr>
        <w:rPr>
          <w:rFonts w:ascii="Arial" w:hAnsi="Arial" w:cs="Arial"/>
          <w:sz w:val="20"/>
        </w:rPr>
      </w:pPr>
      <w:r w:rsidRPr="006A7FA5">
        <w:rPr>
          <w:rFonts w:ascii="Arial" w:hAnsi="Arial" w:cs="Arial"/>
          <w:sz w:val="20"/>
          <w:highlight w:val="yellow"/>
        </w:rPr>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sufficient) of this/these individual(s) is</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4756D8" w:rsidP="00530D09">
            <w:pPr>
              <w:rPr>
                <w:rFonts w:ascii="Arial" w:hAnsi="Arial" w:cs="Arial"/>
                <w:sz w:val="20"/>
              </w:rPr>
            </w:pPr>
            <w:hyperlink r:id="rId16"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lastRenderedPageBreak/>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C50BAAE"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1C29C7">
        <w:rPr>
          <w:rFonts w:ascii="Arial" w:hAnsi="Arial" w:cs="Arial"/>
          <w:i/>
          <w:sz w:val="20"/>
          <w:szCs w:val="20"/>
        </w:rPr>
        <w:t xml:space="preserve">schools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0"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1"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2"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4756D8"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3"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4"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DEED14"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w:t>
      </w:r>
      <w:r w:rsidRPr="004207FB">
        <w:rPr>
          <w:rFonts w:ascii="Arial" w:hAnsi="Arial" w:cs="Arial"/>
          <w:sz w:val="20"/>
          <w:szCs w:val="20"/>
          <w:highlight w:val="yellow"/>
        </w:rPr>
        <w:t>[</w:t>
      </w:r>
      <w:r w:rsidRPr="004207FB">
        <w:rPr>
          <w:rFonts w:ascii="Arial" w:hAnsi="Arial" w:cs="Arial"/>
          <w:i/>
          <w:sz w:val="20"/>
          <w:szCs w:val="20"/>
          <w:highlight w:val="yellow"/>
        </w:rPr>
        <w:t>insert if appropriate: “This does not include participation on sports teams that have specific academic requirements</w:t>
      </w:r>
      <w:r w:rsidRPr="004207FB">
        <w:rPr>
          <w:rFonts w:ascii="Arial" w:hAnsi="Arial" w:cs="Arial"/>
          <w:sz w:val="20"/>
          <w:szCs w:val="20"/>
          <w:highlight w:val="yellow"/>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6"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0"/>
      <w:footerReference w:type="even" r:id="rId41"/>
      <w:footerReference w:type="default" r:id="rId4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7741" w14:textId="77777777" w:rsidR="004756D8" w:rsidRDefault="004756D8">
      <w:pPr>
        <w:spacing w:after="0" w:line="240" w:lineRule="auto"/>
      </w:pPr>
      <w:r>
        <w:separator/>
      </w:r>
    </w:p>
  </w:endnote>
  <w:endnote w:type="continuationSeparator" w:id="0">
    <w:p w14:paraId="3FCF6F54" w14:textId="77777777" w:rsidR="004756D8" w:rsidRDefault="004756D8">
      <w:pPr>
        <w:spacing w:after="0" w:line="240" w:lineRule="auto"/>
      </w:pPr>
      <w:r>
        <w:continuationSeparator/>
      </w:r>
    </w:p>
  </w:endnote>
  <w:endnote w:type="continuationNotice" w:id="1">
    <w:p w14:paraId="498A0E93" w14:textId="77777777" w:rsidR="004756D8" w:rsidRDefault="004756D8">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269" w14:textId="51CCA45A"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DA4">
      <w:rPr>
        <w:rStyle w:val="PageNumber"/>
        <w:noProof/>
      </w:rPr>
      <w:t>2</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44F6A" w14:textId="77777777" w:rsidR="004756D8" w:rsidRDefault="004756D8">
      <w:pPr>
        <w:spacing w:after="0" w:line="240" w:lineRule="auto"/>
      </w:pPr>
      <w:r>
        <w:separator/>
      </w:r>
    </w:p>
  </w:footnote>
  <w:footnote w:type="continuationSeparator" w:id="0">
    <w:p w14:paraId="39E11DC7" w14:textId="77777777" w:rsidR="004756D8" w:rsidRDefault="004756D8">
      <w:pPr>
        <w:spacing w:after="0" w:line="240" w:lineRule="auto"/>
      </w:pPr>
      <w:r>
        <w:continuationSeparator/>
      </w:r>
    </w:p>
  </w:footnote>
  <w:footnote w:type="continuationNotice" w:id="1">
    <w:p w14:paraId="1499BE2B" w14:textId="77777777" w:rsidR="004756D8" w:rsidRDefault="004756D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56D8"/>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25DA4"/>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hyperlink" Target="https://www.healthiergeneration.org/take_action/schools/physical_activity/physical_activities/" TargetMode="Externa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www.letsmoveschools.org"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s://www.choosemyplate.gov/dietary-guidelines" TargetMode="External"/><Relationship Id="rId38" Type="http://schemas.openxmlformats.org/officeDocument/2006/relationships/hyperlink" Target="http://healthymeals.nal.usda.gov/resource-library/physical-activity-school-aged-children/activities-and-tools" TargetMode="External"/><Relationship Id="rId2" Type="http://schemas.openxmlformats.org/officeDocument/2006/relationships/customXml" Target="../customXml/item2.xml"/><Relationship Id="rId16" Type="http://schemas.openxmlformats.org/officeDocument/2006/relationships/hyperlink" Target="mailto:ImaExample@community.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www.choosemyplate.gov" TargetMode="External"/><Relationship Id="rId37" Type="http://schemas.openxmlformats.org/officeDocument/2006/relationships/hyperlink" Target="http://www.pyfp.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changelabsolutions.org/shared-use" TargetMode="Externa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www.foodplanner.healthiergeneration.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smarterlunchrooms.org/ideas" TargetMode="External"/><Relationship Id="rId35" Type="http://schemas.openxmlformats.org/officeDocument/2006/relationships/hyperlink" Target="http://cspinet.org/new/pdf/constructive_classroom_reward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78E603EC-19B1-4D5C-8A39-9B6A722B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7480</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50022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CP8124</cp:lastModifiedBy>
  <cp:revision>2</cp:revision>
  <cp:lastPrinted>2014-10-27T18:27:00Z</cp:lastPrinted>
  <dcterms:created xsi:type="dcterms:W3CDTF">2017-09-18T18:14:00Z</dcterms:created>
  <dcterms:modified xsi:type="dcterms:W3CDTF">2017-09-18T18:14:00Z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