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E77F5" w14:textId="77777777" w:rsidR="00A8164C" w:rsidRDefault="00B85BFD" w:rsidP="00D04EB0">
      <w:r w:rsidRPr="00B85BFD">
        <w:rPr>
          <w:noProof/>
        </w:rPr>
        <w:drawing>
          <wp:inline distT="0" distB="0" distL="0" distR="0" wp14:anchorId="3263EE1D" wp14:editId="3EB2AF7E">
            <wp:extent cx="5943600" cy="1118870"/>
            <wp:effectExtent l="1905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CDDC1" w14:textId="77777777" w:rsidR="00B85BFD" w:rsidRDefault="00B85BFD" w:rsidP="00D04EB0"/>
    <w:p w14:paraId="46168A60" w14:textId="77777777" w:rsidR="009F18B2" w:rsidRDefault="009F18B2" w:rsidP="00A8164C">
      <w:pPr>
        <w:rPr>
          <w:b/>
        </w:rPr>
      </w:pPr>
    </w:p>
    <w:p w14:paraId="0374F46D" w14:textId="443C66F4" w:rsidR="00F44328" w:rsidRPr="00F44328" w:rsidRDefault="00F44328" w:rsidP="00F44328">
      <w:pPr>
        <w:jc w:val="center"/>
        <w:rPr>
          <w:b/>
        </w:rPr>
      </w:pPr>
      <w:r w:rsidRPr="00F44328">
        <w:rPr>
          <w:b/>
        </w:rPr>
        <w:t>Climate Vulnerability Assessment Planning Workshop</w:t>
      </w:r>
    </w:p>
    <w:p w14:paraId="38D198C5" w14:textId="36B8906A" w:rsidR="00F44328" w:rsidRPr="00F44328" w:rsidRDefault="00F44328" w:rsidP="00F44328">
      <w:pPr>
        <w:jc w:val="center"/>
        <w:rPr>
          <w:b/>
        </w:rPr>
      </w:pPr>
      <w:r w:rsidRPr="00F44328">
        <w:rPr>
          <w:b/>
        </w:rPr>
        <w:t xml:space="preserve">Yellowstone Center for Resources </w:t>
      </w:r>
      <w:r>
        <w:rPr>
          <w:b/>
        </w:rPr>
        <w:t xml:space="preserve">(YCR) </w:t>
      </w:r>
      <w:r w:rsidRPr="00F44328">
        <w:rPr>
          <w:b/>
        </w:rPr>
        <w:t>and NASA LCCVP Project</w:t>
      </w:r>
    </w:p>
    <w:p w14:paraId="5BDE869F" w14:textId="77777777" w:rsidR="00F44328" w:rsidRPr="00F44328" w:rsidRDefault="00F44328" w:rsidP="00F44328">
      <w:pPr>
        <w:jc w:val="center"/>
        <w:rPr>
          <w:b/>
        </w:rPr>
      </w:pPr>
      <w:r w:rsidRPr="00F44328">
        <w:rPr>
          <w:b/>
        </w:rPr>
        <w:t>14 January 2013</w:t>
      </w:r>
    </w:p>
    <w:p w14:paraId="0739AD15" w14:textId="77777777" w:rsidR="00B85BFD" w:rsidRPr="00F67996" w:rsidRDefault="00B85BFD" w:rsidP="00A8164C">
      <w:pPr>
        <w:rPr>
          <w:b/>
        </w:rPr>
      </w:pPr>
    </w:p>
    <w:p w14:paraId="096183A4" w14:textId="4801572F" w:rsidR="009F18B2" w:rsidRPr="00807F5C" w:rsidRDefault="009F18B2" w:rsidP="009F18B2">
      <w:pPr>
        <w:rPr>
          <w:b/>
          <w:szCs w:val="24"/>
          <w:u w:val="single"/>
        </w:rPr>
      </w:pPr>
      <w:r>
        <w:rPr>
          <w:b/>
          <w:szCs w:val="24"/>
          <w:u w:val="single"/>
        </w:rPr>
        <w:t>Meeting Context</w:t>
      </w:r>
    </w:p>
    <w:p w14:paraId="1747021D" w14:textId="21C71B2B" w:rsidR="00F44328" w:rsidRDefault="00F44328" w:rsidP="009F18B2">
      <w:r>
        <w:t xml:space="preserve">The Yellowstone Center for Resources has initiated a climate change program and is formulating strategies for research, monitoring and management relating to climate change.  </w:t>
      </w:r>
      <w:r w:rsidR="002201D3">
        <w:t>T</w:t>
      </w:r>
      <w:r w:rsidR="002D6E07">
        <w:t>h</w:t>
      </w:r>
      <w:r w:rsidR="002201D3">
        <w:t xml:space="preserve">e LCCVP project </w:t>
      </w:r>
      <w:r w:rsidR="00CF5B3F">
        <w:t>is using</w:t>
      </w:r>
      <w:r w:rsidR="002201D3">
        <w:t xml:space="preserve"> NASA data and products to inform </w:t>
      </w:r>
      <w:r w:rsidR="00CF5B3F">
        <w:t xml:space="preserve">the assessment of </w:t>
      </w:r>
      <w:r w:rsidR="002201D3">
        <w:t>climate and land use vulnerability in the Great Northern and Appalachian Landscape Conservation Cooperatives</w:t>
      </w:r>
      <w:r>
        <w:t>.  The most detailed vulnerability assessment and link to potential management strategies will be done in and around specific national parks including Yellowstone and Grand Teton.</w:t>
      </w:r>
    </w:p>
    <w:p w14:paraId="2CAB0B73" w14:textId="77777777" w:rsidR="00F44328" w:rsidRDefault="00F44328" w:rsidP="009F18B2"/>
    <w:p w14:paraId="4D655A25" w14:textId="65EFF4E7" w:rsidR="009F18B2" w:rsidRPr="00807F5C" w:rsidRDefault="009F18B2" w:rsidP="009F18B2">
      <w:pPr>
        <w:rPr>
          <w:b/>
          <w:szCs w:val="24"/>
          <w:u w:val="single"/>
        </w:rPr>
      </w:pPr>
      <w:r>
        <w:t xml:space="preserve"> </w:t>
      </w:r>
      <w:r w:rsidRPr="00807F5C">
        <w:rPr>
          <w:b/>
          <w:szCs w:val="24"/>
          <w:u w:val="single"/>
        </w:rPr>
        <w:t>Purpose</w:t>
      </w:r>
    </w:p>
    <w:p w14:paraId="1EF2DC94" w14:textId="77777777" w:rsidR="00F44328" w:rsidRDefault="00F44328" w:rsidP="009F18B2">
      <w:r>
        <w:t>1) Review and refine the approaches to climate vulnerability assessment and management evaluation being developed by YCR and by the LCCVP project.</w:t>
      </w:r>
    </w:p>
    <w:p w14:paraId="5205213B" w14:textId="12F75BBB" w:rsidR="00F44328" w:rsidRDefault="00F44328" w:rsidP="009F18B2">
      <w:r>
        <w:t>2)  Identify and evaluate opportunities to collaborate in climate vulnerability assessment and management evaluation</w:t>
      </w:r>
      <w:r w:rsidR="00D23A35">
        <w:t xml:space="preserve"> among these two groups, the NPS IMR Climate Program, and the GNLCC</w:t>
      </w:r>
      <w:r>
        <w:t>.</w:t>
      </w:r>
    </w:p>
    <w:p w14:paraId="6E6A070D" w14:textId="54FDD6C7" w:rsidR="00F44328" w:rsidRDefault="00F44328" w:rsidP="009F18B2">
      <w:r>
        <w:t xml:space="preserve">3) Identify activities and schedules to bring such opportunities to fruition in </w:t>
      </w:r>
      <w:r w:rsidR="00D23A35">
        <w:t>the coming two years.</w:t>
      </w:r>
      <w:r>
        <w:t xml:space="preserve"> </w:t>
      </w:r>
    </w:p>
    <w:p w14:paraId="749D7408" w14:textId="77777777" w:rsidR="00F44328" w:rsidRDefault="00F44328" w:rsidP="009F18B2"/>
    <w:p w14:paraId="0D3EFCD4" w14:textId="77777777" w:rsidR="009F18B2" w:rsidRPr="00807F5C" w:rsidRDefault="009F18B2" w:rsidP="009F18B2">
      <w:pPr>
        <w:rPr>
          <w:b/>
          <w:szCs w:val="24"/>
          <w:u w:val="single"/>
        </w:rPr>
      </w:pPr>
      <w:r w:rsidRPr="00807F5C">
        <w:rPr>
          <w:b/>
          <w:szCs w:val="24"/>
          <w:u w:val="single"/>
        </w:rPr>
        <w:t>Outcomes</w:t>
      </w:r>
    </w:p>
    <w:p w14:paraId="6323D365" w14:textId="4250D899" w:rsidR="00D23A35" w:rsidRDefault="00D23A35" w:rsidP="00D23A35">
      <w:pPr>
        <w:pStyle w:val="ListParagraph"/>
        <w:numPr>
          <w:ilvl w:val="0"/>
          <w:numId w:val="1"/>
        </w:numPr>
      </w:pPr>
      <w:r>
        <w:t>All participants understand the current climate adaptation philosophy and programs at YELL as well as high priority science needs that would improve implementation of adaptation strategies.</w:t>
      </w:r>
    </w:p>
    <w:p w14:paraId="007731DA" w14:textId="5F565806" w:rsidR="009F18B2" w:rsidRDefault="009F18B2" w:rsidP="009F18B2">
      <w:pPr>
        <w:pStyle w:val="ListParagraph"/>
        <w:numPr>
          <w:ilvl w:val="0"/>
          <w:numId w:val="1"/>
        </w:numPr>
      </w:pPr>
      <w:r>
        <w:t>All participants unde</w:t>
      </w:r>
      <w:r w:rsidR="00D23A35">
        <w:t>rstand the general goals of LCC</w:t>
      </w:r>
      <w:r>
        <w:t xml:space="preserve">VP and how these can be used </w:t>
      </w:r>
      <w:r w:rsidR="00CF5B3F">
        <w:t>to inform</w:t>
      </w:r>
      <w:r>
        <w:t xml:space="preserve"> </w:t>
      </w:r>
      <w:r w:rsidR="00CF5B3F">
        <w:t xml:space="preserve">decisions in </w:t>
      </w:r>
      <w:r w:rsidR="00D23A35">
        <w:t>YELL</w:t>
      </w:r>
      <w:r w:rsidR="00AB374B">
        <w:t xml:space="preserve"> and the surrounding area</w:t>
      </w:r>
      <w:r>
        <w:t>.</w:t>
      </w:r>
    </w:p>
    <w:p w14:paraId="5604A42C" w14:textId="77777777" w:rsidR="009F18B2" w:rsidRDefault="009F18B2" w:rsidP="009F18B2">
      <w:pPr>
        <w:rPr>
          <w:b/>
        </w:rPr>
      </w:pPr>
      <w:r w:rsidRPr="008A704F">
        <w:rPr>
          <w:b/>
        </w:rPr>
        <w:t xml:space="preserve">Expected participants: </w:t>
      </w:r>
    </w:p>
    <w:p w14:paraId="405FCF2A" w14:textId="07939666" w:rsidR="00D23A35" w:rsidRDefault="00D23A35" w:rsidP="00D23A35">
      <w:pPr>
        <w:ind w:left="360"/>
        <w:rPr>
          <w:b/>
        </w:rPr>
      </w:pPr>
      <w:r>
        <w:rPr>
          <w:b/>
        </w:rPr>
        <w:t xml:space="preserve">YCR </w:t>
      </w:r>
    </w:p>
    <w:p w14:paraId="43FD7523" w14:textId="343B3795" w:rsidR="00D23A35" w:rsidRDefault="00D23A35" w:rsidP="00D23A35">
      <w:pPr>
        <w:ind w:left="720"/>
      </w:pPr>
      <w:proofErr w:type="gramStart"/>
      <w:r w:rsidRPr="00D23A35">
        <w:t xml:space="preserve">Dave </w:t>
      </w:r>
      <w:proofErr w:type="spellStart"/>
      <w:r w:rsidRPr="00D23A35">
        <w:t>Hallac</w:t>
      </w:r>
      <w:proofErr w:type="spellEnd"/>
      <w:r w:rsidRPr="00D23A35">
        <w:t>, P.J. White</w:t>
      </w:r>
      <w:r>
        <w:t>, Ann Rodman, Roy Renk</w:t>
      </w:r>
      <w:r w:rsidR="00AA0266">
        <w:t>i</w:t>
      </w:r>
      <w:r>
        <w:t xml:space="preserve">n, </w:t>
      </w:r>
      <w:r w:rsidR="00AA0266">
        <w:t>others?</w:t>
      </w:r>
      <w:proofErr w:type="gramEnd"/>
    </w:p>
    <w:p w14:paraId="6AFA6186" w14:textId="56F8BD68" w:rsidR="00D23A35" w:rsidRPr="00D23A35" w:rsidRDefault="00D23A35" w:rsidP="00D23A35">
      <w:pPr>
        <w:ind w:left="360"/>
        <w:rPr>
          <w:b/>
        </w:rPr>
      </w:pPr>
      <w:r w:rsidRPr="00D23A35">
        <w:rPr>
          <w:b/>
        </w:rPr>
        <w:t>LCCVP</w:t>
      </w:r>
    </w:p>
    <w:p w14:paraId="200FB7AC" w14:textId="649439AA" w:rsidR="00D23A35" w:rsidRDefault="00D23A35" w:rsidP="00D23A35">
      <w:pPr>
        <w:ind w:left="720"/>
      </w:pPr>
      <w:r>
        <w:t>Andy Hansen, Nate Piekielek, Regan Nelson, Tony Chang, Erica Garroutte, Forrest Melton (calling in), John Gross (calling in)</w:t>
      </w:r>
    </w:p>
    <w:p w14:paraId="79AF9938" w14:textId="77777777" w:rsidR="00D23A35" w:rsidRPr="00D23A35" w:rsidRDefault="00D23A35" w:rsidP="00D23A35">
      <w:pPr>
        <w:ind w:left="360"/>
        <w:rPr>
          <w:b/>
        </w:rPr>
      </w:pPr>
      <w:r w:rsidRPr="00D23A35">
        <w:rPr>
          <w:b/>
        </w:rPr>
        <w:t xml:space="preserve">NPS IMR and GNLCC </w:t>
      </w:r>
    </w:p>
    <w:p w14:paraId="06B8BD1C" w14:textId="609603CF" w:rsidR="00D23A35" w:rsidRDefault="00D23A35" w:rsidP="00D23A35">
      <w:pPr>
        <w:ind w:left="720"/>
      </w:pPr>
      <w:r>
        <w:t xml:space="preserve">Tom </w:t>
      </w:r>
      <w:proofErr w:type="spellStart"/>
      <w:r>
        <w:t>Ollif</w:t>
      </w:r>
      <w:proofErr w:type="spellEnd"/>
    </w:p>
    <w:p w14:paraId="664B671D" w14:textId="0910FC28" w:rsidR="00D23A35" w:rsidRPr="00D23A35" w:rsidRDefault="00D23A35" w:rsidP="00D23A35">
      <w:pPr>
        <w:ind w:left="360"/>
        <w:rPr>
          <w:b/>
        </w:rPr>
      </w:pPr>
      <w:r w:rsidRPr="00D23A35">
        <w:rPr>
          <w:b/>
        </w:rPr>
        <w:t>Institute on Ecosystems</w:t>
      </w:r>
    </w:p>
    <w:p w14:paraId="535899CC" w14:textId="6BA64439" w:rsidR="00D23A35" w:rsidRDefault="00D23A35" w:rsidP="00D23A35">
      <w:pPr>
        <w:ind w:left="720"/>
      </w:pPr>
      <w:r>
        <w:t>Todd Kipfer</w:t>
      </w:r>
      <w:bookmarkStart w:id="0" w:name="_GoBack"/>
      <w:bookmarkEnd w:id="0"/>
    </w:p>
    <w:p w14:paraId="4D6AC02D" w14:textId="44518E44" w:rsidR="00D46D36" w:rsidRPr="00D46D36" w:rsidRDefault="00AB6C89" w:rsidP="00D46D36">
      <w:pPr>
        <w:rPr>
          <w:b/>
        </w:rPr>
      </w:pPr>
      <w:r>
        <w:rPr>
          <w:b/>
        </w:rPr>
        <w:lastRenderedPageBreak/>
        <w:t>Meeting agenda</w:t>
      </w:r>
      <w:r w:rsidR="00D46D36">
        <w:rPr>
          <w:b/>
        </w:rPr>
        <w:t xml:space="preserve">, Monday January 14, </w:t>
      </w:r>
      <w:r w:rsidR="00D46D36" w:rsidRPr="00D46D36">
        <w:rPr>
          <w:b/>
        </w:rPr>
        <w:t xml:space="preserve">MSU Transportation Systems Engineering Building </w:t>
      </w:r>
    </w:p>
    <w:p w14:paraId="324EAE3C" w14:textId="5CB0D04A" w:rsidR="00A8164C" w:rsidRPr="00F67996" w:rsidRDefault="00D46D36" w:rsidP="00D46D36">
      <w:pPr>
        <w:rPr>
          <w:b/>
        </w:rPr>
      </w:pPr>
      <w:r w:rsidRPr="00D46D36">
        <w:rPr>
          <w:b/>
        </w:rPr>
        <w:t>2327 University Way, Bozeman, MT</w:t>
      </w:r>
      <w:r>
        <w:rPr>
          <w:b/>
        </w:rPr>
        <w:t>.</w:t>
      </w:r>
      <w:r w:rsidRPr="00D46D36">
        <w:rPr>
          <w:b/>
        </w:rPr>
        <w:t xml:space="preserve">  </w:t>
      </w:r>
    </w:p>
    <w:p w14:paraId="0F7F09BE" w14:textId="77777777" w:rsidR="00807F5C" w:rsidRDefault="00807F5C" w:rsidP="00807F5C"/>
    <w:p w14:paraId="480930A8" w14:textId="0331101D" w:rsidR="00C53769" w:rsidRDefault="00D46D36" w:rsidP="00807F5C">
      <w:r>
        <w:t>9</w:t>
      </w:r>
      <w:r w:rsidR="00AB6C89">
        <w:t>:30 – 12:00</w:t>
      </w:r>
    </w:p>
    <w:p w14:paraId="3908C001" w14:textId="10D9111D" w:rsidR="00AB6C89" w:rsidRDefault="00D46D36" w:rsidP="00AB6C89">
      <w:pPr>
        <w:ind w:left="720"/>
      </w:pPr>
      <w:r>
        <w:t xml:space="preserve">Welcome, </w:t>
      </w:r>
      <w:r w:rsidR="00AB6C89">
        <w:t>Introductions</w:t>
      </w:r>
      <w:r>
        <w:t>, Overview of Agenda</w:t>
      </w:r>
    </w:p>
    <w:p w14:paraId="7881C910" w14:textId="77777777" w:rsidR="00AB6C89" w:rsidRDefault="00AB6C89" w:rsidP="00AB6C89">
      <w:pPr>
        <w:ind w:left="720"/>
      </w:pPr>
    </w:p>
    <w:p w14:paraId="78A6080F" w14:textId="77777777" w:rsidR="00F205F2" w:rsidRDefault="00F205F2" w:rsidP="00F205F2">
      <w:pPr>
        <w:ind w:left="720"/>
      </w:pPr>
      <w:r>
        <w:t>YCR climate initiatives relating to vulnerability assessment</w:t>
      </w:r>
    </w:p>
    <w:p w14:paraId="149027A8" w14:textId="77777777" w:rsidR="00F205F2" w:rsidRDefault="00F205F2" w:rsidP="00F205F2">
      <w:pPr>
        <w:ind w:left="1440"/>
      </w:pPr>
      <w:r>
        <w:t>Major initiatives</w:t>
      </w:r>
    </w:p>
    <w:p w14:paraId="794E0369" w14:textId="77777777" w:rsidR="00F205F2" w:rsidRDefault="00F205F2" w:rsidP="00F205F2">
      <w:pPr>
        <w:ind w:left="1440"/>
      </w:pPr>
      <w:r>
        <w:t>Processes</w:t>
      </w:r>
    </w:p>
    <w:p w14:paraId="40E5D9DE" w14:textId="77777777" w:rsidR="00F205F2" w:rsidRDefault="00F205F2" w:rsidP="00F205F2">
      <w:pPr>
        <w:ind w:left="1440"/>
      </w:pPr>
      <w:r>
        <w:t>Management philosophy</w:t>
      </w:r>
    </w:p>
    <w:p w14:paraId="3A730094" w14:textId="4CE3E3C1" w:rsidR="00F205F2" w:rsidRDefault="00F205F2" w:rsidP="00F205F2">
      <w:pPr>
        <w:ind w:left="1440"/>
      </w:pPr>
      <w:r>
        <w:t>Management decision space</w:t>
      </w:r>
    </w:p>
    <w:p w14:paraId="68EA01E8" w14:textId="77777777" w:rsidR="00F205F2" w:rsidRDefault="00F205F2" w:rsidP="00AB6C89">
      <w:pPr>
        <w:ind w:left="720"/>
      </w:pPr>
    </w:p>
    <w:p w14:paraId="08D6BF05" w14:textId="2F589D8F" w:rsidR="00F205F2" w:rsidRDefault="00F205F2" w:rsidP="00F205F2">
      <w:pPr>
        <w:ind w:left="720"/>
      </w:pPr>
      <w:r>
        <w:t>LCCVP climate vulnerability assessment directions</w:t>
      </w:r>
    </w:p>
    <w:p w14:paraId="316ADFCF" w14:textId="4525F245" w:rsidR="00F205F2" w:rsidRDefault="00F205F2" w:rsidP="00F205F2">
      <w:pPr>
        <w:ind w:left="1440"/>
      </w:pPr>
      <w:r>
        <w:t>General approach for vulnerability assessment, management evaluation, management implementation</w:t>
      </w:r>
    </w:p>
    <w:p w14:paraId="6C18DC7E" w14:textId="5BCC14AF" w:rsidR="00F205F2" w:rsidRDefault="00F205F2" w:rsidP="00F205F2">
      <w:pPr>
        <w:ind w:left="1440"/>
      </w:pPr>
      <w:r>
        <w:t>Management relevance to YCR of the LCCVP response variables</w:t>
      </w:r>
    </w:p>
    <w:p w14:paraId="10CFB4E1" w14:textId="77777777" w:rsidR="00F205F2" w:rsidRDefault="00F205F2" w:rsidP="00F205F2">
      <w:pPr>
        <w:ind w:left="1440"/>
      </w:pPr>
      <w:proofErr w:type="spellStart"/>
      <w:r>
        <w:t>Whitebark</w:t>
      </w:r>
      <w:proofErr w:type="spellEnd"/>
      <w:r>
        <w:t xml:space="preserve"> pine subcommittee management strategies: desirability and feasibility</w:t>
      </w:r>
    </w:p>
    <w:p w14:paraId="0B5ACCD2" w14:textId="11A9014E" w:rsidR="00F205F2" w:rsidRDefault="00F205F2" w:rsidP="00F205F2">
      <w:pPr>
        <w:ind w:left="1440"/>
      </w:pPr>
      <w:r>
        <w:t>Management implications of grassland phenology work</w:t>
      </w:r>
    </w:p>
    <w:p w14:paraId="507DE066" w14:textId="77777777" w:rsidR="00F205F2" w:rsidRDefault="00F205F2" w:rsidP="00AB6C89">
      <w:pPr>
        <w:ind w:left="720"/>
      </w:pPr>
    </w:p>
    <w:p w14:paraId="6BF36155" w14:textId="662477A8" w:rsidR="00F205F2" w:rsidRDefault="00F205F2" w:rsidP="00AB6C89">
      <w:pPr>
        <w:ind w:left="720"/>
      </w:pPr>
      <w:r>
        <w:t>NPS IMR directions</w:t>
      </w:r>
    </w:p>
    <w:p w14:paraId="10F01A0F" w14:textId="77777777" w:rsidR="00F205F2" w:rsidRDefault="00F205F2" w:rsidP="00AB6C89">
      <w:pPr>
        <w:ind w:left="720"/>
      </w:pPr>
    </w:p>
    <w:p w14:paraId="200F4971" w14:textId="05812CA0" w:rsidR="00F205F2" w:rsidRDefault="00F205F2" w:rsidP="00AB6C89">
      <w:pPr>
        <w:ind w:left="720"/>
      </w:pPr>
      <w:r>
        <w:t>IoE Initiatives</w:t>
      </w:r>
    </w:p>
    <w:p w14:paraId="72E9DDD5" w14:textId="77777777" w:rsidR="00F205F2" w:rsidRDefault="00F205F2" w:rsidP="00AB6C89">
      <w:pPr>
        <w:ind w:left="720"/>
      </w:pPr>
    </w:p>
    <w:p w14:paraId="745820CE" w14:textId="2D9E0246" w:rsidR="00F205F2" w:rsidRDefault="00F205F2" w:rsidP="00AB6C89">
      <w:pPr>
        <w:ind w:left="720"/>
      </w:pPr>
      <w:r>
        <w:t xml:space="preserve">Potential </w:t>
      </w:r>
      <w:r w:rsidRPr="00F205F2">
        <w:t>Common ground among YCR</w:t>
      </w:r>
      <w:proofErr w:type="gramStart"/>
      <w:r>
        <w:t xml:space="preserve">, </w:t>
      </w:r>
      <w:r w:rsidRPr="00F205F2">
        <w:t xml:space="preserve"> LCCVP</w:t>
      </w:r>
      <w:proofErr w:type="gramEnd"/>
      <w:r>
        <w:t xml:space="preserve">, NPS IMR and IoE </w:t>
      </w:r>
      <w:r w:rsidRPr="00F205F2">
        <w:t>efforts and next steps.</w:t>
      </w:r>
    </w:p>
    <w:p w14:paraId="73EF84E1" w14:textId="77777777" w:rsidR="00F205F2" w:rsidRDefault="00F205F2" w:rsidP="00AB6C89">
      <w:pPr>
        <w:ind w:left="720"/>
      </w:pPr>
    </w:p>
    <w:p w14:paraId="15795747" w14:textId="634F155C" w:rsidR="005E0B3B" w:rsidRDefault="005E0B3B" w:rsidP="005E0B3B">
      <w:r>
        <w:t xml:space="preserve">12:00 – </w:t>
      </w:r>
      <w:r w:rsidR="00F205F2">
        <w:t>1</w:t>
      </w:r>
      <w:r>
        <w:t xml:space="preserve">:00 </w:t>
      </w:r>
    </w:p>
    <w:p w14:paraId="0FB4C295" w14:textId="70EADBF4" w:rsidR="00AB6C89" w:rsidRDefault="00F205F2" w:rsidP="005E0B3B">
      <w:pPr>
        <w:ind w:left="720"/>
      </w:pPr>
      <w:r>
        <w:t>W</w:t>
      </w:r>
      <w:r w:rsidR="005E0B3B">
        <w:t>orking lunch</w:t>
      </w:r>
    </w:p>
    <w:p w14:paraId="2EDC7343" w14:textId="31E64DA0" w:rsidR="005E0B3B" w:rsidRDefault="005E0B3B" w:rsidP="005E0B3B">
      <w:pPr>
        <w:ind w:left="1440"/>
      </w:pPr>
      <w:r>
        <w:t>Discuss in more detail potential collaborations</w:t>
      </w:r>
    </w:p>
    <w:p w14:paraId="5A3EAFAC" w14:textId="77777777" w:rsidR="005E0B3B" w:rsidRDefault="005E0B3B" w:rsidP="005E0B3B">
      <w:pPr>
        <w:ind w:left="720"/>
      </w:pPr>
    </w:p>
    <w:p w14:paraId="3374E1CC" w14:textId="77777777" w:rsidR="00AB6C89" w:rsidRDefault="00AB6C89" w:rsidP="00AB6C89">
      <w:pPr>
        <w:ind w:left="720"/>
      </w:pPr>
    </w:p>
    <w:p w14:paraId="7D051E91" w14:textId="77777777" w:rsidR="00F205F2" w:rsidRDefault="00F205F2" w:rsidP="00AB6C89">
      <w:pPr>
        <w:ind w:left="720"/>
      </w:pPr>
    </w:p>
    <w:p w14:paraId="48729557" w14:textId="77777777" w:rsidR="00F205F2" w:rsidRDefault="00F205F2" w:rsidP="00AB6C89">
      <w:pPr>
        <w:ind w:left="720"/>
      </w:pPr>
    </w:p>
    <w:p w14:paraId="6ED7FD66" w14:textId="77777777" w:rsidR="00F205F2" w:rsidRDefault="00F205F2" w:rsidP="00AB6C89">
      <w:pPr>
        <w:ind w:left="720"/>
      </w:pPr>
    </w:p>
    <w:p w14:paraId="6F21273D" w14:textId="77777777" w:rsidR="00F205F2" w:rsidRDefault="00F205F2" w:rsidP="00AB6C89">
      <w:pPr>
        <w:ind w:left="720"/>
      </w:pPr>
    </w:p>
    <w:p w14:paraId="65EB52A8" w14:textId="77777777" w:rsidR="00F205F2" w:rsidRDefault="00F205F2" w:rsidP="00AB6C89">
      <w:pPr>
        <w:ind w:left="720"/>
      </w:pPr>
    </w:p>
    <w:p w14:paraId="0FCEEED8" w14:textId="77777777" w:rsidR="00F205F2" w:rsidRDefault="00F205F2" w:rsidP="00AB6C89">
      <w:pPr>
        <w:ind w:left="720"/>
      </w:pPr>
    </w:p>
    <w:p w14:paraId="26071372" w14:textId="77777777" w:rsidR="00AB6C89" w:rsidRDefault="00AB6C89" w:rsidP="00AB6C89">
      <w:pPr>
        <w:ind w:left="720"/>
      </w:pPr>
    </w:p>
    <w:p w14:paraId="0BC8D36F" w14:textId="08040F19" w:rsidR="00914904" w:rsidRDefault="00670A50" w:rsidP="00C53769">
      <w:r w:rsidRPr="00670A50">
        <w:rPr>
          <w:noProof/>
        </w:rPr>
        <w:drawing>
          <wp:inline distT="0" distB="0" distL="0" distR="0" wp14:anchorId="68035042" wp14:editId="622AEBDC">
            <wp:extent cx="5943600" cy="778510"/>
            <wp:effectExtent l="19050" t="0" r="0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3F8AB" w14:textId="77777777" w:rsidR="00914904" w:rsidRDefault="00914904">
      <w:r>
        <w:br w:type="page"/>
      </w:r>
    </w:p>
    <w:p w14:paraId="6304172A" w14:textId="2EF99800" w:rsidR="00914904" w:rsidRPr="00914904" w:rsidRDefault="00914904" w:rsidP="00914904">
      <w:pPr>
        <w:rPr>
          <w:b/>
        </w:rPr>
      </w:pPr>
      <w:r w:rsidRPr="00914904">
        <w:rPr>
          <w:b/>
        </w:rPr>
        <w:lastRenderedPageBreak/>
        <w:t>Venue</w:t>
      </w:r>
    </w:p>
    <w:p w14:paraId="26AD2ED2" w14:textId="38490780" w:rsidR="00914904" w:rsidRDefault="00914904" w:rsidP="00914904">
      <w:r>
        <w:t xml:space="preserve">Meeting Time:  </w:t>
      </w:r>
      <w:r>
        <w:tab/>
        <w:t>9:30a-1:00p</w:t>
      </w:r>
    </w:p>
    <w:p w14:paraId="5CE9F625" w14:textId="77777777" w:rsidR="00914904" w:rsidRDefault="00914904" w:rsidP="00914904">
      <w:pPr>
        <w:ind w:left="2160" w:hanging="2160"/>
      </w:pPr>
      <w:r>
        <w:t xml:space="preserve">Meeting Location:  </w:t>
      </w:r>
      <w:r>
        <w:tab/>
        <w:t xml:space="preserve">MSU Transportation Systems Engineering Building </w:t>
      </w:r>
      <w:r>
        <w:br/>
        <w:t>2327 University Way, Bozeman, MT  59715</w:t>
      </w:r>
    </w:p>
    <w:p w14:paraId="1694CAB4" w14:textId="77777777" w:rsidR="00914904" w:rsidRDefault="00914904" w:rsidP="00914904">
      <w:pPr>
        <w:ind w:left="2160" w:hanging="2160"/>
      </w:pPr>
      <w:r>
        <w:t>Meeting Room:</w:t>
      </w:r>
      <w:r>
        <w:tab/>
        <w:t>Room 229 (kindly provided by the Institute on Ecosystems)</w:t>
      </w:r>
    </w:p>
    <w:p w14:paraId="68A026F9" w14:textId="77777777" w:rsidR="00914904" w:rsidRDefault="00914904" w:rsidP="00914904">
      <w:pPr>
        <w:rPr>
          <w:b/>
          <w:u w:val="single"/>
        </w:rPr>
      </w:pPr>
    </w:p>
    <w:p w14:paraId="65310606" w14:textId="77777777" w:rsidR="00914904" w:rsidRDefault="00914904" w:rsidP="00914904">
      <w:r>
        <w:rPr>
          <w:b/>
          <w:u w:val="single"/>
        </w:rPr>
        <w:t xml:space="preserve">Directions from I-90:  </w:t>
      </w:r>
      <w:r>
        <w:rPr>
          <w:b/>
          <w:u w:val="single"/>
        </w:rPr>
        <w:br/>
      </w:r>
      <w:r>
        <w:t>Take exit 313 toward Bear Canyon Road (0.2 mi)</w:t>
      </w:r>
      <w:r>
        <w:br/>
        <w:t xml:space="preserve">Turn left onto </w:t>
      </w:r>
      <w:proofErr w:type="spellStart"/>
      <w:r>
        <w:t>Moffit</w:t>
      </w:r>
      <w:proofErr w:type="spellEnd"/>
      <w:r>
        <w:t xml:space="preserve"> Gulch Rd, &amp; continue straight onto Bozeman Trail Rd (3 mi)</w:t>
      </w:r>
      <w:r>
        <w:br/>
        <w:t xml:space="preserve">Continue onto </w:t>
      </w:r>
      <w:proofErr w:type="spellStart"/>
      <w:r>
        <w:t>Kagy</w:t>
      </w:r>
      <w:proofErr w:type="spellEnd"/>
      <w:r>
        <w:t xml:space="preserve"> Blvd (2.6 mi).</w:t>
      </w:r>
      <w:r>
        <w:br/>
        <w:t>Just past the MSU Bobcat stadium, turn left (south) onto University Way (note this street is also S. 11</w:t>
      </w:r>
      <w:r>
        <w:rPr>
          <w:vertAlign w:val="superscript"/>
        </w:rPr>
        <w:t>th</w:t>
      </w:r>
      <w:r>
        <w:t xml:space="preserve"> Ave to the north).  </w:t>
      </w:r>
      <w:r>
        <w:br/>
        <w:t>Follow this road as it bends to the left, and the building on your left is the TSEB.  Parking is free.</w:t>
      </w:r>
      <w:r>
        <w:br/>
        <w:t>Room 229 is upstairs and to your left.</w:t>
      </w:r>
    </w:p>
    <w:p w14:paraId="24C0FB95" w14:textId="4F7749B3" w:rsidR="00914904" w:rsidRDefault="00914904" w:rsidP="00914904"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CF2B8ED" wp14:editId="48CC81E6">
            <wp:extent cx="6629400" cy="3743325"/>
            <wp:effectExtent l="19050" t="19050" r="19050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7433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1252A802" w14:textId="77777777" w:rsidR="00670A50" w:rsidRDefault="00670A50" w:rsidP="00C53769"/>
    <w:sectPr w:rsidR="00670A50" w:rsidSect="000B0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29E8"/>
    <w:multiLevelType w:val="hybridMultilevel"/>
    <w:tmpl w:val="D59C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11C02"/>
    <w:multiLevelType w:val="hybridMultilevel"/>
    <w:tmpl w:val="731C6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554E7"/>
    <w:multiLevelType w:val="hybridMultilevel"/>
    <w:tmpl w:val="BC8E3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27C3E"/>
    <w:multiLevelType w:val="hybridMultilevel"/>
    <w:tmpl w:val="894E214A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A13CF"/>
    <w:multiLevelType w:val="hybridMultilevel"/>
    <w:tmpl w:val="5D04F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03373"/>
    <w:multiLevelType w:val="hybridMultilevel"/>
    <w:tmpl w:val="1FDA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F14B03"/>
    <w:multiLevelType w:val="hybridMultilevel"/>
    <w:tmpl w:val="ED6C0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FD6A6B"/>
    <w:multiLevelType w:val="hybridMultilevel"/>
    <w:tmpl w:val="68D8847E"/>
    <w:lvl w:ilvl="0" w:tplc="E6447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F02896"/>
    <w:multiLevelType w:val="hybridMultilevel"/>
    <w:tmpl w:val="793A4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67776"/>
    <w:multiLevelType w:val="hybridMultilevel"/>
    <w:tmpl w:val="972A8F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901681C"/>
    <w:multiLevelType w:val="hybridMultilevel"/>
    <w:tmpl w:val="7BA4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EB0"/>
    <w:rsid w:val="00004352"/>
    <w:rsid w:val="00087CE4"/>
    <w:rsid w:val="000B0017"/>
    <w:rsid w:val="000E30B2"/>
    <w:rsid w:val="00181818"/>
    <w:rsid w:val="001B28AC"/>
    <w:rsid w:val="001B43DD"/>
    <w:rsid w:val="001D5B68"/>
    <w:rsid w:val="002201D3"/>
    <w:rsid w:val="00241EB9"/>
    <w:rsid w:val="00282FB4"/>
    <w:rsid w:val="002D6E07"/>
    <w:rsid w:val="002F52E0"/>
    <w:rsid w:val="002F66BB"/>
    <w:rsid w:val="00313504"/>
    <w:rsid w:val="00330EBF"/>
    <w:rsid w:val="00346A86"/>
    <w:rsid w:val="00357A7A"/>
    <w:rsid w:val="00360770"/>
    <w:rsid w:val="003938EE"/>
    <w:rsid w:val="003D7F50"/>
    <w:rsid w:val="004240C6"/>
    <w:rsid w:val="004246B9"/>
    <w:rsid w:val="004548C6"/>
    <w:rsid w:val="00473E5E"/>
    <w:rsid w:val="004A0C41"/>
    <w:rsid w:val="004A2CCA"/>
    <w:rsid w:val="004C05B4"/>
    <w:rsid w:val="00503AD7"/>
    <w:rsid w:val="00507852"/>
    <w:rsid w:val="005121CD"/>
    <w:rsid w:val="0055003A"/>
    <w:rsid w:val="00550969"/>
    <w:rsid w:val="005E0B3B"/>
    <w:rsid w:val="005F6105"/>
    <w:rsid w:val="00631496"/>
    <w:rsid w:val="00665FEE"/>
    <w:rsid w:val="00670A50"/>
    <w:rsid w:val="006A2F12"/>
    <w:rsid w:val="006B366D"/>
    <w:rsid w:val="006C626F"/>
    <w:rsid w:val="00740CA2"/>
    <w:rsid w:val="007663F7"/>
    <w:rsid w:val="007914FC"/>
    <w:rsid w:val="00807F5C"/>
    <w:rsid w:val="00824B10"/>
    <w:rsid w:val="0087068E"/>
    <w:rsid w:val="008A58D2"/>
    <w:rsid w:val="008A704F"/>
    <w:rsid w:val="00914904"/>
    <w:rsid w:val="00924276"/>
    <w:rsid w:val="00941E53"/>
    <w:rsid w:val="00963FE4"/>
    <w:rsid w:val="009F18B2"/>
    <w:rsid w:val="00A07C8C"/>
    <w:rsid w:val="00A8164C"/>
    <w:rsid w:val="00A86C3E"/>
    <w:rsid w:val="00A923D2"/>
    <w:rsid w:val="00AA0266"/>
    <w:rsid w:val="00AB374B"/>
    <w:rsid w:val="00AB6C89"/>
    <w:rsid w:val="00AF714A"/>
    <w:rsid w:val="00B0371D"/>
    <w:rsid w:val="00B166BA"/>
    <w:rsid w:val="00B207E9"/>
    <w:rsid w:val="00B85BFD"/>
    <w:rsid w:val="00BA10F2"/>
    <w:rsid w:val="00BF00FD"/>
    <w:rsid w:val="00C201A2"/>
    <w:rsid w:val="00C53769"/>
    <w:rsid w:val="00C6518C"/>
    <w:rsid w:val="00CC61DC"/>
    <w:rsid w:val="00CF5B3F"/>
    <w:rsid w:val="00D03976"/>
    <w:rsid w:val="00D04EB0"/>
    <w:rsid w:val="00D23A35"/>
    <w:rsid w:val="00D40312"/>
    <w:rsid w:val="00D46D36"/>
    <w:rsid w:val="00D74043"/>
    <w:rsid w:val="00D745F7"/>
    <w:rsid w:val="00D74811"/>
    <w:rsid w:val="00E4365A"/>
    <w:rsid w:val="00E7291B"/>
    <w:rsid w:val="00EC3494"/>
    <w:rsid w:val="00ED5EA4"/>
    <w:rsid w:val="00F16177"/>
    <w:rsid w:val="00F205F2"/>
    <w:rsid w:val="00F44328"/>
    <w:rsid w:val="00F64F25"/>
    <w:rsid w:val="00F65B91"/>
    <w:rsid w:val="00F67996"/>
    <w:rsid w:val="00F75A7E"/>
    <w:rsid w:val="00F8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E51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D5EA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E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24276"/>
    <w:pPr>
      <w:spacing w:after="20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03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82FB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38E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38EE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E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E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E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D5EA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E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924276"/>
    <w:pPr>
      <w:spacing w:after="20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03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82FB4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938EE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938E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C9971-5D13-47A7-899B-3FD8EFBEA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Hansen, Andrew</dc:creator>
  <cp:lastModifiedBy>Hansen, Andrew</cp:lastModifiedBy>
  <cp:revision>6</cp:revision>
  <cp:lastPrinted>2012-11-02T18:41:00Z</cp:lastPrinted>
  <dcterms:created xsi:type="dcterms:W3CDTF">2013-01-11T22:26:00Z</dcterms:created>
  <dcterms:modified xsi:type="dcterms:W3CDTF">2013-01-11T22:59:00Z</dcterms:modified>
</cp:coreProperties>
</file>