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8E199" w14:textId="57D017A7" w:rsidR="00352D9A" w:rsidRPr="00DE630C" w:rsidRDefault="00473BDB" w:rsidP="00352D9A">
      <w:pPr>
        <w:rPr>
          <w:b/>
        </w:rPr>
      </w:pPr>
      <w:r>
        <w:rPr>
          <w:b/>
        </w:rPr>
        <w:t>Underg</w:t>
      </w:r>
      <w:r w:rsidR="00352D9A" w:rsidRPr="00DE630C">
        <w:rPr>
          <w:b/>
        </w:rPr>
        <w:t>raduate Program Assessment Plan &lt;</w:t>
      </w:r>
      <w:r w:rsidR="00352D9A">
        <w:rPr>
          <w:b/>
        </w:rPr>
        <w:t>Psychology</w:t>
      </w:r>
      <w:r w:rsidR="00352D9A" w:rsidRPr="00DE630C">
        <w:rPr>
          <w:b/>
        </w:rPr>
        <w:t>&gt;</w:t>
      </w:r>
    </w:p>
    <w:p w14:paraId="21938F70" w14:textId="33D7DBF7" w:rsidR="00352D9A" w:rsidRDefault="00BD61FA" w:rsidP="00352D9A">
      <w:r>
        <w:t>2011-2015</w:t>
      </w:r>
    </w:p>
    <w:p w14:paraId="34F281E5" w14:textId="77777777" w:rsidR="00352D9A" w:rsidRDefault="00352D9A" w:rsidP="00352D9A"/>
    <w:p w14:paraId="6C3B32BF" w14:textId="1CEDC921" w:rsidR="00473BDB" w:rsidRPr="00147BAB" w:rsidRDefault="00473BDB" w:rsidP="00473BDB">
      <w:pPr>
        <w:rPr>
          <w:b/>
          <w:u w:val="single"/>
        </w:rPr>
      </w:pPr>
      <w:r>
        <w:rPr>
          <w:b/>
          <w:u w:val="single"/>
        </w:rPr>
        <w:t>Psychology Department Mission</w:t>
      </w:r>
    </w:p>
    <w:p w14:paraId="3616C073" w14:textId="77777777" w:rsidR="00473BDB" w:rsidRDefault="00473BDB" w:rsidP="00473BDB"/>
    <w:p w14:paraId="21E1C762" w14:textId="28901904" w:rsidR="00473BDB" w:rsidRDefault="00473BDB" w:rsidP="00473BDB">
      <w:pPr>
        <w:pStyle w:val="ListParagraph"/>
        <w:numPr>
          <w:ilvl w:val="0"/>
          <w:numId w:val="1"/>
        </w:numPr>
      </w:pPr>
      <w:r>
        <w:t>To support students and faculty in the exploration, discovery, and dissemination of new knowledge in psychological science.</w:t>
      </w:r>
    </w:p>
    <w:p w14:paraId="6DAAB8A4" w14:textId="4BDA0E24" w:rsidR="00473BDB" w:rsidRDefault="00473BDB" w:rsidP="00473BDB">
      <w:pPr>
        <w:pStyle w:val="ListParagraph"/>
        <w:numPr>
          <w:ilvl w:val="0"/>
          <w:numId w:val="1"/>
        </w:numPr>
      </w:pPr>
      <w:r>
        <w:t>To provi</w:t>
      </w:r>
      <w:bookmarkStart w:id="0" w:name="_GoBack"/>
      <w:bookmarkEnd w:id="0"/>
      <w:r>
        <w:t>de a collaborative environment for faculty and students that fosters intellectual curiosity and in which research and teaching a closely integrated and highly valued.</w:t>
      </w:r>
    </w:p>
    <w:p w14:paraId="497A54B4" w14:textId="21BDB67C" w:rsidR="00473BDB" w:rsidRDefault="00473BDB" w:rsidP="00473BDB">
      <w:pPr>
        <w:pStyle w:val="ListParagraph"/>
        <w:numPr>
          <w:ilvl w:val="0"/>
          <w:numId w:val="1"/>
        </w:numPr>
      </w:pPr>
      <w:r>
        <w:t>To graduate students who evidence psychological literacy and thereby prepare students for advanced study in psychology or related fields and for employment.  Psychological literacy includes having a critical understanding of psychological concepts, theories and methods; applying psychological principles and methods to solving personal, interpersonal, or social problems; understanding and fostering respect for diversity; and acting ethically.</w:t>
      </w:r>
    </w:p>
    <w:p w14:paraId="0E094E74" w14:textId="1DECD476" w:rsidR="00473BDB" w:rsidRDefault="00473BDB" w:rsidP="00473BDB">
      <w:pPr>
        <w:pStyle w:val="ListParagraph"/>
        <w:numPr>
          <w:ilvl w:val="0"/>
          <w:numId w:val="1"/>
        </w:numPr>
      </w:pPr>
      <w:r>
        <w:t>To serve the people and the communities of Montana</w:t>
      </w:r>
      <w:r w:rsidR="00A63680">
        <w:t xml:space="preserve"> by sharing our psychological expertise and collaborating with others.</w:t>
      </w:r>
    </w:p>
    <w:p w14:paraId="16138219" w14:textId="77777777" w:rsidR="00473BDB" w:rsidRDefault="00473BDB" w:rsidP="00352D9A">
      <w:pPr>
        <w:rPr>
          <w:b/>
          <w:u w:val="single"/>
        </w:rPr>
      </w:pPr>
    </w:p>
    <w:p w14:paraId="566E0F99" w14:textId="34AD351C" w:rsidR="00352D9A" w:rsidRDefault="00B26D52" w:rsidP="00352D9A">
      <w:pPr>
        <w:rPr>
          <w:color w:val="000000" w:themeColor="text1"/>
        </w:rPr>
      </w:pPr>
      <w:r w:rsidRPr="00B26D52">
        <w:rPr>
          <w:color w:val="000000" w:themeColor="text1"/>
        </w:rPr>
        <w:t xml:space="preserve">The Psychology department is strongly committed to enhancing students learning and fulfilling our mission.  Because of this, we engage in periodic assessment of our program to measure the alignment between our students’ learning and our mission. </w:t>
      </w:r>
      <w:r>
        <w:rPr>
          <w:color w:val="000000" w:themeColor="text1"/>
        </w:rPr>
        <w:t xml:space="preserve">Upon collecting each year’s assessment, we will discuss our assessment results and consider potential changes in order to improve performance in each learning outcome.  </w:t>
      </w:r>
    </w:p>
    <w:p w14:paraId="73DB48D0" w14:textId="77777777" w:rsidR="00B26D52" w:rsidRDefault="00B26D52" w:rsidP="00352D9A">
      <w:pPr>
        <w:rPr>
          <w:color w:val="000000" w:themeColor="text1"/>
        </w:rPr>
      </w:pPr>
    </w:p>
    <w:p w14:paraId="412B73B1" w14:textId="77777777" w:rsidR="000A0A55" w:rsidRDefault="00B26D52" w:rsidP="004616FA">
      <w:pPr>
        <w:autoSpaceDE w:val="0"/>
        <w:autoSpaceDN w:val="0"/>
        <w:adjustRightInd w:val="0"/>
        <w:rPr>
          <w:b/>
          <w:color w:val="000000" w:themeColor="text1"/>
          <w:u w:val="single"/>
        </w:rPr>
      </w:pPr>
      <w:r w:rsidRPr="00B26D52">
        <w:rPr>
          <w:b/>
          <w:color w:val="000000" w:themeColor="text1"/>
          <w:u w:val="single"/>
        </w:rPr>
        <w:t>Program Learning Outcomes.</w:t>
      </w:r>
      <w:r w:rsidR="004616FA">
        <w:rPr>
          <w:b/>
          <w:color w:val="000000" w:themeColor="text1"/>
          <w:u w:val="single"/>
        </w:rPr>
        <w:t xml:space="preserve"> </w:t>
      </w:r>
    </w:p>
    <w:p w14:paraId="5F000697" w14:textId="77777777" w:rsidR="000A0A55" w:rsidRDefault="000A0A55" w:rsidP="004616FA">
      <w:pPr>
        <w:autoSpaceDE w:val="0"/>
        <w:autoSpaceDN w:val="0"/>
        <w:adjustRightInd w:val="0"/>
        <w:rPr>
          <w:b/>
          <w:color w:val="000000" w:themeColor="text1"/>
          <w:u w:val="single"/>
        </w:rPr>
      </w:pPr>
    </w:p>
    <w:p w14:paraId="25BB1BC1" w14:textId="3B0236E0" w:rsidR="004616FA" w:rsidRPr="004616FA" w:rsidRDefault="004616FA" w:rsidP="004616FA">
      <w:pPr>
        <w:autoSpaceDE w:val="0"/>
        <w:autoSpaceDN w:val="0"/>
        <w:adjustRightInd w:val="0"/>
        <w:rPr>
          <w:rFonts w:eastAsiaTheme="minorHAnsi" w:cs="TimesNewRomanPSMT"/>
        </w:rPr>
      </w:pPr>
      <w:r w:rsidRPr="00D97D07">
        <w:rPr>
          <w:color w:val="000000" w:themeColor="text1"/>
        </w:rPr>
        <w:t xml:space="preserve">Specific </w:t>
      </w:r>
      <w:r w:rsidRPr="00D97D07">
        <w:rPr>
          <w:rFonts w:eastAsiaTheme="minorHAnsi" w:cs="TimesNewRomanPSMT"/>
        </w:rPr>
        <w:t>l</w:t>
      </w:r>
      <w:r w:rsidRPr="004616FA">
        <w:rPr>
          <w:rFonts w:eastAsiaTheme="minorHAnsi" w:cs="TimesNewRomanPSMT"/>
        </w:rPr>
        <w:t>earning outcome goals for our B.S. degree are adapted from the American Psychological Association (APA) Guidelines for the Undergraduate Psychology Major (2007). The APA</w:t>
      </w:r>
      <w:r>
        <w:rPr>
          <w:rFonts w:eastAsiaTheme="minorHAnsi" w:cs="TimesNewRomanPSMT"/>
        </w:rPr>
        <w:t xml:space="preserve"> </w:t>
      </w:r>
      <w:r w:rsidRPr="004616FA">
        <w:rPr>
          <w:rFonts w:eastAsiaTheme="minorHAnsi" w:cs="TimesNewRomanPSMT"/>
        </w:rPr>
        <w:t>outlines two sets of learning goals:</w:t>
      </w:r>
    </w:p>
    <w:p w14:paraId="3E854501" w14:textId="4FC47640" w:rsidR="00B26D52" w:rsidRDefault="004616FA" w:rsidP="004616FA">
      <w:pPr>
        <w:autoSpaceDE w:val="0"/>
        <w:autoSpaceDN w:val="0"/>
        <w:adjustRightInd w:val="0"/>
        <w:rPr>
          <w:rFonts w:eastAsiaTheme="minorHAnsi" w:cs="TimesNewRomanPSMT"/>
        </w:rPr>
      </w:pPr>
      <w:r w:rsidRPr="004616FA">
        <w:rPr>
          <w:rFonts w:eastAsiaTheme="minorHAnsi" w:cs="TimesNewRomanPS-BoldMT"/>
          <w:b/>
          <w:bCs/>
        </w:rPr>
        <w:t xml:space="preserve">(A) </w:t>
      </w:r>
      <w:r w:rsidRPr="004616FA">
        <w:rPr>
          <w:rFonts w:eastAsiaTheme="minorHAnsi" w:cs="TimesNewRomanPSMT"/>
        </w:rPr>
        <w:t>learning goals central to Psychology curricula, and</w:t>
      </w:r>
      <w:r>
        <w:rPr>
          <w:rFonts w:eastAsiaTheme="minorHAnsi" w:cs="TimesNewRomanPSMT"/>
        </w:rPr>
        <w:t xml:space="preserve"> </w:t>
      </w:r>
      <w:r w:rsidRPr="004616FA">
        <w:rPr>
          <w:rFonts w:eastAsiaTheme="minorHAnsi" w:cs="TimesNewRomanPS-BoldMT"/>
          <w:b/>
          <w:bCs/>
        </w:rPr>
        <w:t xml:space="preserve">(B) </w:t>
      </w:r>
      <w:r w:rsidRPr="004616FA">
        <w:rPr>
          <w:rFonts w:eastAsiaTheme="minorHAnsi" w:cs="TimesNewRomanPSMT"/>
        </w:rPr>
        <w:t xml:space="preserve">learning goals common to a Liberal Arts education that are furthered by Psychology curricula. </w:t>
      </w:r>
    </w:p>
    <w:p w14:paraId="5491DD36" w14:textId="77777777" w:rsidR="004616FA" w:rsidRDefault="004616FA" w:rsidP="004616FA">
      <w:pPr>
        <w:rPr>
          <w:rFonts w:eastAsiaTheme="minorHAnsi" w:cs="TimesNewRomanPSMT"/>
        </w:rPr>
      </w:pPr>
    </w:p>
    <w:p w14:paraId="57593F84" w14:textId="01CCD158" w:rsidR="00352D9A" w:rsidRPr="00B01C23" w:rsidRDefault="004616FA" w:rsidP="00352D9A">
      <w:pPr>
        <w:rPr>
          <w:rFonts w:eastAsiaTheme="minorHAnsi" w:cs="TimesNewRomanPSMT"/>
          <w:b/>
          <w:color w:val="000000" w:themeColor="text1"/>
        </w:rPr>
      </w:pPr>
      <w:r w:rsidRPr="00B01C23">
        <w:rPr>
          <w:rFonts w:eastAsiaTheme="minorHAnsi" w:cs="TimesNewRomanPSMT"/>
          <w:b/>
          <w:color w:val="000000" w:themeColor="text1"/>
        </w:rPr>
        <w:t>Category A.</w:t>
      </w:r>
    </w:p>
    <w:p w14:paraId="40E5D36C" w14:textId="77777777" w:rsidR="004616FA" w:rsidRPr="00D97D07" w:rsidRDefault="004616FA" w:rsidP="00352D9A">
      <w:pPr>
        <w:rPr>
          <w:color w:val="000000" w:themeColor="text1"/>
        </w:rPr>
      </w:pPr>
    </w:p>
    <w:p w14:paraId="15E68A1D" w14:textId="5E8831E5" w:rsidR="00352D9A" w:rsidRPr="00D97D07" w:rsidRDefault="00D97D07" w:rsidP="00B26D52">
      <w:pPr>
        <w:pStyle w:val="ListParagraph"/>
        <w:numPr>
          <w:ilvl w:val="0"/>
          <w:numId w:val="5"/>
        </w:numPr>
        <w:rPr>
          <w:color w:val="000000" w:themeColor="text1"/>
        </w:rPr>
      </w:pPr>
      <w:r w:rsidRPr="00D97D07">
        <w:rPr>
          <w:color w:val="000000" w:themeColor="text1"/>
        </w:rPr>
        <w:t>Demonstrate discipline-specific knowledge identifying ways in which psychology is an empirical science, explain the goals of psychology as a field, and list and explain important aspects of psychological functioning and theories of psychological function in domains such as learning, perception, cognition, memory, social processes, development, individual differences, mental health, and the biological and genetic bases of behavior.</w:t>
      </w:r>
    </w:p>
    <w:p w14:paraId="484D483C" w14:textId="29D7C107" w:rsidR="00352D9A" w:rsidRPr="00C9773B" w:rsidRDefault="00352D9A" w:rsidP="00B26D52">
      <w:pPr>
        <w:pStyle w:val="ListParagraph"/>
        <w:numPr>
          <w:ilvl w:val="0"/>
          <w:numId w:val="5"/>
        </w:numPr>
        <w:rPr>
          <w:color w:val="000000" w:themeColor="text1"/>
        </w:rPr>
      </w:pPr>
      <w:r w:rsidRPr="00D97D07">
        <w:rPr>
          <w:color w:val="000000" w:themeColor="text1"/>
        </w:rPr>
        <w:t xml:space="preserve">Demonstrate mastery of </w:t>
      </w:r>
      <w:r w:rsidR="00D97D07" w:rsidRPr="00D97D07">
        <w:rPr>
          <w:color w:val="000000" w:themeColor="text1"/>
        </w:rPr>
        <w:t xml:space="preserve">research methodology including relating theoretical ideas to empirical </w:t>
      </w:r>
      <w:r w:rsidRPr="00D97D07">
        <w:rPr>
          <w:color w:val="000000" w:themeColor="text1"/>
        </w:rPr>
        <w:t xml:space="preserve">  </w:t>
      </w:r>
      <w:r w:rsidR="00D97D07" w:rsidRPr="00D97D07">
        <w:rPr>
          <w:color w:val="000000" w:themeColor="text1"/>
        </w:rPr>
        <w:t>research methods, designing and critiquing experiments to test hypotheses, and explain the limitations of experiments, conducting and presenting appropriate statistical analyses using quantitative technology tools, and identifying and explaining impo</w:t>
      </w:r>
      <w:r w:rsidR="00D97D07" w:rsidRPr="00C9773B">
        <w:rPr>
          <w:color w:val="000000" w:themeColor="text1"/>
        </w:rPr>
        <w:t>rtant differences between correlational and experimental studies in psychology.</w:t>
      </w:r>
    </w:p>
    <w:p w14:paraId="57D90D7F" w14:textId="0DD4D349" w:rsidR="00352D9A" w:rsidRPr="00C9773B" w:rsidRDefault="00352D9A" w:rsidP="00B26D52">
      <w:pPr>
        <w:pStyle w:val="ListParagraph"/>
        <w:numPr>
          <w:ilvl w:val="0"/>
          <w:numId w:val="5"/>
        </w:numPr>
        <w:rPr>
          <w:color w:val="000000" w:themeColor="text1"/>
        </w:rPr>
      </w:pPr>
      <w:r w:rsidRPr="00C9773B">
        <w:rPr>
          <w:color w:val="000000" w:themeColor="text1"/>
        </w:rPr>
        <w:t xml:space="preserve">Demonstrate </w:t>
      </w:r>
      <w:r w:rsidR="00D97D07" w:rsidRPr="00C9773B">
        <w:rPr>
          <w:color w:val="000000" w:themeColor="text1"/>
        </w:rPr>
        <w:t xml:space="preserve">critical thinking skills in psychology including identifying the logic and flaws in existent research in the context of </w:t>
      </w:r>
      <w:r w:rsidR="00C9773B" w:rsidRPr="00C9773B">
        <w:rPr>
          <w:color w:val="000000" w:themeColor="text1"/>
        </w:rPr>
        <w:t>classroom, laboratory and field work, and using scientific methods and scientific attitude to approach problems.</w:t>
      </w:r>
    </w:p>
    <w:p w14:paraId="0F5F5969" w14:textId="503B13BB" w:rsidR="00C9773B" w:rsidRPr="00AC4D0F" w:rsidRDefault="00C9773B" w:rsidP="00B26D52">
      <w:pPr>
        <w:pStyle w:val="ListParagraph"/>
        <w:numPr>
          <w:ilvl w:val="0"/>
          <w:numId w:val="5"/>
        </w:numPr>
        <w:rPr>
          <w:color w:val="000000" w:themeColor="text1"/>
        </w:rPr>
      </w:pPr>
      <w:r w:rsidRPr="00C9773B">
        <w:rPr>
          <w:color w:val="000000" w:themeColor="text1"/>
        </w:rPr>
        <w:t xml:space="preserve">Apply psychological science, theory, and research findings to address practical problems such as promoting health and healthy life styles, retaining and enhancing cognitive function during aging and in groups, understanding </w:t>
      </w:r>
      <w:r w:rsidR="00D63264">
        <w:rPr>
          <w:color w:val="000000" w:themeColor="text1"/>
        </w:rPr>
        <w:t xml:space="preserve">everyday cognitive and perceptual processes, explaining and reducing prejudice and social disparities, promoting equal opportunities, recognizing and using persuasive methods that alter attitudes, </w:t>
      </w:r>
      <w:r w:rsidR="00D63264" w:rsidRPr="00AC4D0F">
        <w:rPr>
          <w:color w:val="000000" w:themeColor="text1"/>
        </w:rPr>
        <w:t>recognizing relations between brain and behavior, and interpreting personal adjustment and clinical problems with psychological science.</w:t>
      </w:r>
    </w:p>
    <w:p w14:paraId="3CE7A9F6" w14:textId="707EB2B7" w:rsidR="00352D9A" w:rsidRPr="00AC4D0F" w:rsidRDefault="00352D9A" w:rsidP="00B26D52">
      <w:pPr>
        <w:pStyle w:val="ListParagraph"/>
        <w:numPr>
          <w:ilvl w:val="0"/>
          <w:numId w:val="5"/>
        </w:numPr>
        <w:rPr>
          <w:color w:val="000000" w:themeColor="text1"/>
        </w:rPr>
      </w:pPr>
      <w:r w:rsidRPr="00AC4D0F">
        <w:rPr>
          <w:color w:val="000000" w:themeColor="text1"/>
        </w:rPr>
        <w:t xml:space="preserve">Demonstrate </w:t>
      </w:r>
      <w:r w:rsidR="00D63264" w:rsidRPr="00AC4D0F">
        <w:rPr>
          <w:color w:val="000000" w:themeColor="text1"/>
        </w:rPr>
        <w:t xml:space="preserve">values in psychology such as objectivity in weighing evidence, using empirical evidence to support claims, outlining ways </w:t>
      </w:r>
      <w:r w:rsidR="00AC4D0F">
        <w:rPr>
          <w:color w:val="000000" w:themeColor="text1"/>
        </w:rPr>
        <w:t xml:space="preserve">in which scientific explanations are tentative and how this is an aspect of the progression of science, identifying and explaining ethical principles in the conduct </w:t>
      </w:r>
      <w:r w:rsidR="007A7888">
        <w:t xml:space="preserve">of research with humans and animals, and </w:t>
      </w:r>
      <w:r w:rsidR="00B01C23">
        <w:t>providing examples of human individual and cultural diversity in psychological functioning.</w:t>
      </w:r>
    </w:p>
    <w:p w14:paraId="32CE9110" w14:textId="77777777" w:rsidR="004616FA" w:rsidRPr="00473BDB" w:rsidRDefault="004616FA" w:rsidP="004616FA">
      <w:pPr>
        <w:pStyle w:val="ListParagraph"/>
        <w:rPr>
          <w:color w:val="FF0000"/>
        </w:rPr>
      </w:pPr>
    </w:p>
    <w:p w14:paraId="186AE2E2" w14:textId="43754050" w:rsidR="004616FA" w:rsidRPr="00B01C23" w:rsidRDefault="004616FA" w:rsidP="004616FA">
      <w:pPr>
        <w:rPr>
          <w:rFonts w:eastAsiaTheme="minorHAnsi" w:cs="TimesNewRomanPSMT"/>
          <w:b/>
        </w:rPr>
      </w:pPr>
      <w:r w:rsidRPr="00B01C23">
        <w:rPr>
          <w:rFonts w:eastAsiaTheme="minorHAnsi" w:cs="TimesNewRomanPSMT"/>
          <w:b/>
        </w:rPr>
        <w:t>Category B.</w:t>
      </w:r>
    </w:p>
    <w:p w14:paraId="46DDAA94" w14:textId="77777777" w:rsidR="004616FA" w:rsidRPr="00B26D52" w:rsidRDefault="004616FA" w:rsidP="004616FA">
      <w:pPr>
        <w:rPr>
          <w:color w:val="FF0000"/>
        </w:rPr>
      </w:pPr>
    </w:p>
    <w:p w14:paraId="3D6A7D88" w14:textId="6F329112" w:rsidR="00B01C23" w:rsidRPr="00B01C23" w:rsidRDefault="00B01C23" w:rsidP="004616FA">
      <w:pPr>
        <w:pStyle w:val="ListParagraph"/>
        <w:numPr>
          <w:ilvl w:val="0"/>
          <w:numId w:val="5"/>
        </w:numPr>
        <w:rPr>
          <w:color w:val="000000" w:themeColor="text1"/>
        </w:rPr>
      </w:pPr>
      <w:r w:rsidRPr="00B01C23">
        <w:rPr>
          <w:color w:val="000000" w:themeColor="text1"/>
        </w:rPr>
        <w:t xml:space="preserve">Show information and technological literacy such as showing facility in literature searches using data bases such as PsycInfo, PsycArticles and PubMed, appropriately evaluating the sources and quality of the information, sharing information using technology such as webpages, electronic slide </w:t>
      </w:r>
      <w:r w:rsidRPr="00B01C23">
        <w:rPr>
          <w:color w:val="000000" w:themeColor="text1"/>
        </w:rPr>
        <w:lastRenderedPageBreak/>
        <w:t>presentations, poster presentations, and appropriately using and explaining quantitative technologies such as statistical and graphics packages.</w:t>
      </w:r>
    </w:p>
    <w:p w14:paraId="578EB40B" w14:textId="26DDB6F2" w:rsidR="004616FA" w:rsidRPr="00B01C23" w:rsidRDefault="00B01C23" w:rsidP="004616FA">
      <w:pPr>
        <w:pStyle w:val="ListParagraph"/>
        <w:numPr>
          <w:ilvl w:val="0"/>
          <w:numId w:val="5"/>
        </w:numPr>
        <w:rPr>
          <w:color w:val="000000" w:themeColor="text1"/>
        </w:rPr>
      </w:pPr>
      <w:r w:rsidRPr="00B01C23">
        <w:rPr>
          <w:color w:val="000000" w:themeColor="text1"/>
        </w:rPr>
        <w:t xml:space="preserve"> Demonstrate communication skills such as presenting psychological information in class presentations, class discussions, formal and informal written papers, and in field work including theories and their testable implications, research goals and rationales, empirical findings, quantitative information, and engaging in discussions that exhibit critical thinking while appreciating the viewpoints of others while showing respect and sensitivity for others.</w:t>
      </w:r>
    </w:p>
    <w:p w14:paraId="189DEFD4" w14:textId="4A583DF5" w:rsidR="004616FA" w:rsidRPr="00E04BA1" w:rsidRDefault="00B01C23" w:rsidP="004616FA">
      <w:pPr>
        <w:pStyle w:val="ListParagraph"/>
        <w:numPr>
          <w:ilvl w:val="0"/>
          <w:numId w:val="5"/>
        </w:numPr>
        <w:rPr>
          <w:color w:val="000000" w:themeColor="text1"/>
        </w:rPr>
      </w:pPr>
      <w:r w:rsidRPr="00B01C23">
        <w:rPr>
          <w:color w:val="000000" w:themeColor="text1"/>
        </w:rPr>
        <w:t xml:space="preserve">Demonstrate sociological and international awareness such as giving examples of sociocultural or international contexts that can create differences among individuals and groups of people, recognizing the potential and actual sources of prejudicial attitudes and behaviors in oneself and others, and articulate the psychological factors that can lead to the use of social </w:t>
      </w:r>
      <w:r w:rsidRPr="00E04BA1">
        <w:rPr>
          <w:color w:val="000000" w:themeColor="text1"/>
        </w:rPr>
        <w:t>privilege and power for oppression on the one hand or to further equity on the other hand.</w:t>
      </w:r>
    </w:p>
    <w:p w14:paraId="7E0645B8" w14:textId="63D4291C" w:rsidR="004616FA" w:rsidRPr="000C3986" w:rsidRDefault="004616FA" w:rsidP="004616FA">
      <w:pPr>
        <w:pStyle w:val="ListParagraph"/>
        <w:numPr>
          <w:ilvl w:val="0"/>
          <w:numId w:val="5"/>
        </w:numPr>
        <w:rPr>
          <w:color w:val="000000" w:themeColor="text1"/>
        </w:rPr>
      </w:pPr>
      <w:r w:rsidRPr="00E04BA1">
        <w:rPr>
          <w:color w:val="000000" w:themeColor="text1"/>
        </w:rPr>
        <w:t xml:space="preserve">Demonstrate </w:t>
      </w:r>
      <w:r w:rsidR="00E04BA1" w:rsidRPr="00E04BA1">
        <w:rPr>
          <w:color w:val="000000" w:themeColor="text1"/>
        </w:rPr>
        <w:t xml:space="preserve">personal development such as applying psychological science to explain one’s own and others’ behavior and psychological processes and use psychological science to develop effective strategies for </w:t>
      </w:r>
      <w:r w:rsidR="00E04BA1" w:rsidRPr="000C3986">
        <w:rPr>
          <w:color w:val="000000" w:themeColor="text1"/>
        </w:rPr>
        <w:t>relating to others and addressing personal deficits using psychological knowledge.</w:t>
      </w:r>
    </w:p>
    <w:p w14:paraId="51AD9C67" w14:textId="646D8757" w:rsidR="004616FA" w:rsidRPr="000C3986" w:rsidRDefault="00E04BA1" w:rsidP="004616FA">
      <w:pPr>
        <w:pStyle w:val="ListParagraph"/>
        <w:numPr>
          <w:ilvl w:val="0"/>
          <w:numId w:val="5"/>
        </w:numPr>
        <w:rPr>
          <w:color w:val="000000" w:themeColor="text1"/>
        </w:rPr>
      </w:pPr>
      <w:r w:rsidRPr="000C3986">
        <w:rPr>
          <w:color w:val="000000" w:themeColor="text1"/>
        </w:rPr>
        <w:t>Demonstrating engagement, outreach, and integration of learning and outreach.</w:t>
      </w:r>
    </w:p>
    <w:p w14:paraId="4EA0874C" w14:textId="5D39FA86" w:rsidR="00352D9A" w:rsidRPr="000C3986" w:rsidRDefault="00E04BA1" w:rsidP="00E04BA1">
      <w:pPr>
        <w:tabs>
          <w:tab w:val="left" w:pos="6140"/>
        </w:tabs>
        <w:rPr>
          <w:color w:val="000000" w:themeColor="text1"/>
        </w:rPr>
      </w:pPr>
      <w:r w:rsidRPr="000C3986">
        <w:rPr>
          <w:color w:val="000000" w:themeColor="text1"/>
        </w:rPr>
        <w:tab/>
      </w:r>
    </w:p>
    <w:p w14:paraId="56F537CF" w14:textId="77777777" w:rsidR="004616FA" w:rsidRPr="000C3986" w:rsidRDefault="004616FA" w:rsidP="00352D9A">
      <w:pPr>
        <w:rPr>
          <w:color w:val="000000" w:themeColor="text1"/>
        </w:rPr>
      </w:pPr>
    </w:p>
    <w:p w14:paraId="7D7B4825" w14:textId="01584E2A" w:rsidR="000C3986" w:rsidRPr="000C3986" w:rsidRDefault="000C3986" w:rsidP="00352D9A">
      <w:pPr>
        <w:rPr>
          <w:b/>
          <w:color w:val="000000" w:themeColor="text1"/>
          <w:u w:val="single"/>
        </w:rPr>
      </w:pPr>
      <w:r w:rsidRPr="000C3986">
        <w:rPr>
          <w:b/>
          <w:color w:val="000000" w:themeColor="text1"/>
          <w:u w:val="single"/>
        </w:rPr>
        <w:t>Psychology Department approach to teaching the 10 learning outcomes.</w:t>
      </w:r>
    </w:p>
    <w:p w14:paraId="7D820DCC" w14:textId="77777777" w:rsidR="000C3986" w:rsidRPr="000C3986" w:rsidRDefault="000C3986" w:rsidP="00352D9A">
      <w:pPr>
        <w:rPr>
          <w:b/>
          <w:color w:val="000000" w:themeColor="text1"/>
          <w:u w:val="single"/>
        </w:rPr>
      </w:pPr>
    </w:p>
    <w:p w14:paraId="28025ED7" w14:textId="7A34D55D" w:rsidR="000C3986" w:rsidRDefault="000C3986" w:rsidP="000C3986">
      <w:pPr>
        <w:pStyle w:val="ListParagraph"/>
        <w:numPr>
          <w:ilvl w:val="0"/>
          <w:numId w:val="7"/>
        </w:numPr>
      </w:pPr>
      <w:r w:rsidRPr="000C3986">
        <w:rPr>
          <w:color w:val="000000" w:themeColor="text1"/>
        </w:rPr>
        <w:t xml:space="preserve">Knowledge base of psychology (Discipline-specific knowledge). The major is structured such that students take one course from each of 4 </w:t>
      </w:r>
      <w:r>
        <w:t>groups that represent several content domains of psychology. All our courses emphasize a scientific approach to psychology.</w:t>
      </w:r>
    </w:p>
    <w:p w14:paraId="7DFD3338" w14:textId="77777777" w:rsidR="000C3986" w:rsidRDefault="000C3986" w:rsidP="000C3986"/>
    <w:p w14:paraId="75A2F8BB" w14:textId="11ADDBEF" w:rsidR="000C3986" w:rsidRDefault="000C3986" w:rsidP="000C3986">
      <w:pPr>
        <w:pStyle w:val="ListParagraph"/>
        <w:numPr>
          <w:ilvl w:val="0"/>
          <w:numId w:val="7"/>
        </w:numPr>
      </w:pPr>
      <w:r>
        <w:t>Research methods. Our curriculum emphasizes research methods beginning with Introductory Psychology (Psyx 100IS). A</w:t>
      </w:r>
      <w:r w:rsidRPr="003900EF">
        <w:t xml:space="preserve">ll Psychology majors must </w:t>
      </w:r>
      <w:r>
        <w:t>take 2 semesters of research methods</w:t>
      </w:r>
      <w:r w:rsidRPr="003900EF">
        <w:t xml:space="preserve"> PSY</w:t>
      </w:r>
      <w:r>
        <w:t>X</w:t>
      </w:r>
      <w:r w:rsidRPr="003900EF">
        <w:t xml:space="preserve"> 22</w:t>
      </w:r>
      <w:r>
        <w:t>3</w:t>
      </w:r>
      <w:r w:rsidRPr="003900EF">
        <w:t>, PSY</w:t>
      </w:r>
      <w:r>
        <w:t>X</w:t>
      </w:r>
      <w:r w:rsidRPr="003900EF">
        <w:t xml:space="preserve"> 2</w:t>
      </w:r>
      <w:r>
        <w:t>25. In addition, research methods and the critique of research is emphasized in virtually all</w:t>
      </w:r>
      <w:r w:rsidRPr="003900EF">
        <w:t xml:space="preserve"> our discipline-specific courses. </w:t>
      </w:r>
      <w:r>
        <w:t xml:space="preserve"> </w:t>
      </w:r>
      <w:r w:rsidRPr="003900EF">
        <w:t>All Psycholog</w:t>
      </w:r>
      <w:r>
        <w:t xml:space="preserve">y majors must develop a PSYX 499R (Senior Thesis Capstone) </w:t>
      </w:r>
      <w:r w:rsidRPr="003900EF">
        <w:t>research project based on either their undergraduate research experience in PSY</w:t>
      </w:r>
      <w:r>
        <w:t>X</w:t>
      </w:r>
      <w:r w:rsidRPr="003900EF">
        <w:t xml:space="preserve"> 490</w:t>
      </w:r>
      <w:r>
        <w:t>R</w:t>
      </w:r>
      <w:r w:rsidRPr="003900EF">
        <w:t xml:space="preserve"> or their field practicum experience in PSY</w:t>
      </w:r>
      <w:r>
        <w:t>X</w:t>
      </w:r>
      <w:r w:rsidRPr="003900EF">
        <w:t xml:space="preserve"> 49</w:t>
      </w:r>
      <w:r>
        <w:t>5</w:t>
      </w:r>
      <w:r w:rsidRPr="003900EF">
        <w:t>.</w:t>
      </w:r>
      <w:r>
        <w:t xml:space="preserve"> </w:t>
      </w:r>
    </w:p>
    <w:p w14:paraId="082D14D9" w14:textId="77777777" w:rsidR="000C3986" w:rsidRDefault="000C3986" w:rsidP="000C3986"/>
    <w:p w14:paraId="44858680" w14:textId="55DB2C1A" w:rsidR="000C3986" w:rsidRDefault="000C3986" w:rsidP="000C3986">
      <w:pPr>
        <w:pStyle w:val="ListParagraph"/>
        <w:numPr>
          <w:ilvl w:val="0"/>
          <w:numId w:val="7"/>
        </w:numPr>
      </w:pPr>
      <w:r>
        <w:t>Critical thinking. An emphasis of Psyx 223, 225, 490R, and 499R is application of critical thinking to research in psychology in designing research. Other courses address critical thinking less directly.</w:t>
      </w:r>
    </w:p>
    <w:p w14:paraId="5185A2C8" w14:textId="77777777" w:rsidR="000C3986" w:rsidRDefault="000C3986" w:rsidP="000C3986"/>
    <w:p w14:paraId="0EC2BB09" w14:textId="0877DEBE" w:rsidR="000C3986" w:rsidRDefault="000C3986" w:rsidP="000C3986">
      <w:pPr>
        <w:pStyle w:val="ListParagraph"/>
        <w:numPr>
          <w:ilvl w:val="0"/>
          <w:numId w:val="7"/>
        </w:numPr>
      </w:pPr>
      <w:r>
        <w:t xml:space="preserve">Applications of psychology. An emphasis of Psyx 495 (Field Practicum) is the application of psychological knowledge to field experience. Psyx 370 (Learning), 375 (Behavior Modification) and 475 (Advanced Behavior Analysis) apply theories of learning and motivation to analysis of every day behavior. Other courses address applications of psychology less directly. </w:t>
      </w:r>
    </w:p>
    <w:p w14:paraId="5F8DFCB8" w14:textId="77777777" w:rsidR="000C3986" w:rsidRDefault="000C3986" w:rsidP="000C3986"/>
    <w:p w14:paraId="6524FE60" w14:textId="1953691E" w:rsidR="000C3986" w:rsidRDefault="000C3986" w:rsidP="000C3986">
      <w:pPr>
        <w:pStyle w:val="ListParagraph"/>
        <w:numPr>
          <w:ilvl w:val="0"/>
          <w:numId w:val="7"/>
        </w:numPr>
      </w:pPr>
      <w:r>
        <w:t xml:space="preserve">Values in psychology. Psyx 223 and Psyx 490R both require that students complete training in the ethical conduct of research. Other courses directly address diversity issues: Psyx 235D (Contemporary Issues in Human Sexuality), Psyx 335 (Psychology of Gender) and Psyx 462 (Psychology of Prejudice). </w:t>
      </w:r>
    </w:p>
    <w:p w14:paraId="573F996B" w14:textId="77777777" w:rsidR="000C3986" w:rsidRDefault="000C3986" w:rsidP="000C3986"/>
    <w:p w14:paraId="60B1AE9C" w14:textId="07920A7C" w:rsidR="000C3986" w:rsidRDefault="000C3986" w:rsidP="000C3986">
      <w:pPr>
        <w:pStyle w:val="ListParagraph"/>
        <w:numPr>
          <w:ilvl w:val="0"/>
          <w:numId w:val="7"/>
        </w:numPr>
      </w:pPr>
      <w:r>
        <w:t xml:space="preserve">Information and technological literacy. Psyx 225, 490R, and 499R require that students perform searches using library data bases. These courses and Psyx 223 also require that students use statistical and graphical computer programs. </w:t>
      </w:r>
    </w:p>
    <w:p w14:paraId="1B848FE9" w14:textId="77777777" w:rsidR="000C3986" w:rsidRDefault="000C3986" w:rsidP="000C3986"/>
    <w:p w14:paraId="47918D13" w14:textId="1E6297EB" w:rsidR="000C3986" w:rsidRDefault="000C3986" w:rsidP="000C3986">
      <w:pPr>
        <w:pStyle w:val="ListParagraph"/>
        <w:numPr>
          <w:ilvl w:val="0"/>
          <w:numId w:val="7"/>
        </w:numPr>
      </w:pPr>
      <w:r>
        <w:t xml:space="preserve">Communication skills. Psyx 223, 490R, 499R require that students present complete research presentations (either orally or as posters), including quantitative research results. These courses require written research papers as well. Psyx 225 requires a written paper of a research project. Other papers require written papers of various sorts. </w:t>
      </w:r>
    </w:p>
    <w:p w14:paraId="35DDEAEB" w14:textId="77777777" w:rsidR="000C3986" w:rsidRDefault="000C3986" w:rsidP="000C3986"/>
    <w:p w14:paraId="1D8A0B1F" w14:textId="26E4245A" w:rsidR="000C3986" w:rsidRDefault="000C3986" w:rsidP="000C3986">
      <w:pPr>
        <w:pStyle w:val="ListParagraph"/>
        <w:numPr>
          <w:ilvl w:val="0"/>
          <w:numId w:val="7"/>
        </w:numPr>
      </w:pPr>
      <w:r>
        <w:t>Sociocultural and international awareness. Psyx  235D (Contemporary Issues in Human Sexuality), Psyx 335 (Psychology of Gender), Psyx 462 (Psychology of Prejudice) and Psyx 360 (Social Psychology) all address the ways in which sociocultural factors influence behavior.</w:t>
      </w:r>
    </w:p>
    <w:p w14:paraId="53D95E41" w14:textId="77777777" w:rsidR="000C3986" w:rsidRDefault="000C3986" w:rsidP="000C3986"/>
    <w:p w14:paraId="5501D414" w14:textId="573B80E5" w:rsidR="000C3986" w:rsidRDefault="000C3986" w:rsidP="000C3986">
      <w:pPr>
        <w:pStyle w:val="ListParagraph"/>
        <w:numPr>
          <w:ilvl w:val="0"/>
          <w:numId w:val="7"/>
        </w:numPr>
      </w:pPr>
      <w:r>
        <w:t xml:space="preserve">Personal development. Psyx 375 (Behavior Modification) and 475 (Advanced Behavior Analysis) both apply theories of learning and motivation to analysis of every day behavior. </w:t>
      </w:r>
    </w:p>
    <w:p w14:paraId="634615D7" w14:textId="77777777" w:rsidR="000C3986" w:rsidRDefault="000C3986" w:rsidP="000C3986">
      <w:pPr>
        <w:pStyle w:val="ListParagraph"/>
      </w:pPr>
    </w:p>
    <w:p w14:paraId="200B0EDE" w14:textId="0429369D" w:rsidR="000C3986" w:rsidRDefault="000C3986" w:rsidP="000C3986">
      <w:pPr>
        <w:pStyle w:val="ListParagraph"/>
        <w:numPr>
          <w:ilvl w:val="0"/>
          <w:numId w:val="7"/>
        </w:numPr>
      </w:pPr>
      <w:r>
        <w:t>Engagement and Outreach.  The goal of Psyx 495 (Field Practicum) is to gain experience in an applied setting aimed at improving the lives of community residents  in critical areas such as retirement communities, educational settings, treatment and therapy centers, domestic abuse centers, etc…</w:t>
      </w:r>
    </w:p>
    <w:p w14:paraId="33BB48E5" w14:textId="77777777" w:rsidR="000C3986" w:rsidRDefault="000C3986" w:rsidP="00352D9A">
      <w:pPr>
        <w:rPr>
          <w:b/>
          <w:color w:val="FF0000"/>
          <w:u w:val="single"/>
        </w:rPr>
      </w:pPr>
    </w:p>
    <w:p w14:paraId="7F733B08" w14:textId="7D8BA208" w:rsidR="00352D9A" w:rsidRPr="000A0A55" w:rsidRDefault="00352D9A" w:rsidP="00352D9A">
      <w:pPr>
        <w:rPr>
          <w:b/>
          <w:color w:val="000000" w:themeColor="text1"/>
          <w:u w:val="single"/>
        </w:rPr>
      </w:pPr>
      <w:r w:rsidRPr="000A0A55">
        <w:rPr>
          <w:b/>
          <w:color w:val="000000" w:themeColor="text1"/>
          <w:u w:val="single"/>
        </w:rPr>
        <w:t>Assessment of Learning Outcomes</w:t>
      </w:r>
    </w:p>
    <w:p w14:paraId="38BCD3A2" w14:textId="77777777" w:rsidR="000A0A55" w:rsidRPr="000A0A55" w:rsidRDefault="000A0A55" w:rsidP="00352D9A">
      <w:pPr>
        <w:rPr>
          <w:color w:val="000000" w:themeColor="text1"/>
        </w:rPr>
      </w:pPr>
      <w:r w:rsidRPr="000A0A55">
        <w:rPr>
          <w:color w:val="000000" w:themeColor="text1"/>
        </w:rPr>
        <w:t>The department uses the following measures to track progress in learning outcomes during the major and within courses. We use the following 5 measurements to track progress…</w:t>
      </w:r>
    </w:p>
    <w:p w14:paraId="5AE2A92E" w14:textId="77777777" w:rsidR="000A0A55" w:rsidRDefault="000A0A55" w:rsidP="00352D9A">
      <w:pPr>
        <w:rPr>
          <w:color w:val="FF0000"/>
        </w:rPr>
      </w:pPr>
    </w:p>
    <w:p w14:paraId="6B765E8C" w14:textId="77777777" w:rsidR="000A0A55" w:rsidRDefault="000A0A55" w:rsidP="000A0A55">
      <w:pPr>
        <w:pStyle w:val="ListParagraph"/>
        <w:numPr>
          <w:ilvl w:val="0"/>
          <w:numId w:val="8"/>
        </w:numPr>
      </w:pPr>
      <w:r>
        <w:t>Rubrics for Capstone presentations (oral or poster)</w:t>
      </w:r>
    </w:p>
    <w:p w14:paraId="371611DA" w14:textId="24A03801" w:rsidR="000A0A55" w:rsidRDefault="000A0A55" w:rsidP="000A0A55">
      <w:pPr>
        <w:pStyle w:val="ListParagraph"/>
        <w:numPr>
          <w:ilvl w:val="1"/>
          <w:numId w:val="8"/>
        </w:numPr>
      </w:pPr>
      <w:r>
        <w:t>The Department uses a Capstone assessment developed at Lawrence University (see Appendix A). The rubric assesses Critical Thinking, Oral Communication, Values &amp; Ethics, Methodology and Research, and Diversity. We use this assessment for each Senior Thesis poster conference (every semester).</w:t>
      </w:r>
    </w:p>
    <w:p w14:paraId="64B7AEBC" w14:textId="2B3D2AC0" w:rsidR="000A0A55" w:rsidRDefault="000A0A55" w:rsidP="000A0A55">
      <w:pPr>
        <w:pStyle w:val="ListParagraph"/>
        <w:numPr>
          <w:ilvl w:val="1"/>
          <w:numId w:val="8"/>
        </w:numPr>
      </w:pPr>
      <w:r>
        <w:t xml:space="preserve">The ‘LEAP’ rubric for oral communication is also used for Psyx 499 Senior Thesis student poster presentations (see Appendix B). This rubric defines qualitatively different levels of performance for Organization, Language, Delivery, Supporting Material, and Central Message. </w:t>
      </w:r>
    </w:p>
    <w:p w14:paraId="75B75AA1" w14:textId="17E14FA9" w:rsidR="000A0A55" w:rsidRDefault="000A0A55" w:rsidP="000A0A55">
      <w:pPr>
        <w:pStyle w:val="ListParagraph"/>
        <w:numPr>
          <w:ilvl w:val="0"/>
          <w:numId w:val="8"/>
        </w:numPr>
      </w:pPr>
      <w:r>
        <w:t xml:space="preserve">Written communication rubric from ‘LEAP’ describes qualitatively different levels of performance in Context and Purpose, Content development, Disciplinary conventions, Sources and Evidence, and Control of Syntax and Mechanics (see Appendix C). This rubric will be used in Spring 2012 for a subset of term papers from one course at a lower level (course to be chosen) and for a subset of the Capstone Senior Thesis projects. In the longer term, </w:t>
      </w:r>
      <w:r w:rsidRPr="007A367F">
        <w:rPr>
          <w:b/>
          <w:i/>
        </w:rPr>
        <w:t>we can assess progress</w:t>
      </w:r>
      <w:r>
        <w:t xml:space="preserve"> longitudinally from a course such as Psyx 225 (taken during the sophomore or junior year) to the senior year. </w:t>
      </w:r>
    </w:p>
    <w:p w14:paraId="161CC7C1" w14:textId="77777777" w:rsidR="000A0A55" w:rsidRDefault="000A0A55" w:rsidP="000A0A55">
      <w:pPr>
        <w:pStyle w:val="ListParagraph"/>
        <w:numPr>
          <w:ilvl w:val="0"/>
          <w:numId w:val="8"/>
        </w:numPr>
      </w:pPr>
      <w:r>
        <w:t xml:space="preserve">Senior survey. The department has administered a Senior Survey to students completing the capstone course, Psyx 499R, for almost a decade. The senior survey contains questions about satisfaction with courses, the overall program, research and practicum experience, career and academic advising, faculty, and job and career intentions after graduation. </w:t>
      </w:r>
    </w:p>
    <w:p w14:paraId="6927F4ED" w14:textId="77777777" w:rsidR="000A0A55" w:rsidRDefault="000A0A55" w:rsidP="000A0A55">
      <w:pPr>
        <w:pStyle w:val="ListParagraph"/>
        <w:numPr>
          <w:ilvl w:val="2"/>
          <w:numId w:val="8"/>
        </w:numPr>
      </w:pPr>
      <w:r>
        <w:t xml:space="preserve">The department will continue the Senior Survey in its current form. This will allow comparisons over time. </w:t>
      </w:r>
    </w:p>
    <w:p w14:paraId="3CEC22AE" w14:textId="77777777" w:rsidR="000A0A55" w:rsidRDefault="000A0A55" w:rsidP="000A0A55">
      <w:pPr>
        <w:pStyle w:val="ListParagraph"/>
        <w:numPr>
          <w:ilvl w:val="2"/>
          <w:numId w:val="8"/>
        </w:numPr>
      </w:pPr>
      <w:r>
        <w:t>The department will attempt to coordinate with the Alumni Foundation to study the employment and educational endeavors and satisfaction of students post-graduation.</w:t>
      </w:r>
    </w:p>
    <w:p w14:paraId="49FB4D58" w14:textId="77777777" w:rsidR="000A0A55" w:rsidRDefault="000A0A55" w:rsidP="000A0A55">
      <w:pPr>
        <w:pStyle w:val="ListParagraph"/>
        <w:numPr>
          <w:ilvl w:val="0"/>
          <w:numId w:val="8"/>
        </w:numPr>
      </w:pPr>
      <w:r>
        <w:t xml:space="preserve">Knowledge base of psychology. </w:t>
      </w:r>
    </w:p>
    <w:p w14:paraId="48D30488" w14:textId="77777777" w:rsidR="000A0A55" w:rsidRDefault="000A0A55" w:rsidP="000A0A55">
      <w:pPr>
        <w:pStyle w:val="ListParagraph"/>
        <w:numPr>
          <w:ilvl w:val="1"/>
          <w:numId w:val="8"/>
        </w:numPr>
      </w:pPr>
      <w:r>
        <w:t xml:space="preserve">The members of the MSU Psychology Department view the best assessment of content-specific learning goals as by the use of standardized exams. </w:t>
      </w:r>
      <w:r w:rsidRPr="00087A21">
        <w:rPr>
          <w:i/>
        </w:rPr>
        <w:t>Funds are not currently available to carry out such an assessment.</w:t>
      </w:r>
      <w:r>
        <w:t xml:space="preserve"> In principle, standardized exams could be administered to freshmen and to seniors, yielding an informative view of progress. </w:t>
      </w:r>
    </w:p>
    <w:p w14:paraId="6261ADE5" w14:textId="77777777" w:rsidR="000A0A55" w:rsidRDefault="000A0A55" w:rsidP="000A0A55">
      <w:pPr>
        <w:pStyle w:val="ListParagraph"/>
        <w:numPr>
          <w:ilvl w:val="2"/>
          <w:numId w:val="8"/>
        </w:numPr>
      </w:pPr>
      <w:r>
        <w:t xml:space="preserve">Some psychology departments are developing standardized exams themselves. Our department does not have the resources for development of an in-house standardized exam. </w:t>
      </w:r>
    </w:p>
    <w:p w14:paraId="585917E3" w14:textId="77777777" w:rsidR="000A0A55" w:rsidRDefault="000A0A55" w:rsidP="000A0A55">
      <w:pPr>
        <w:pStyle w:val="ListParagraph"/>
        <w:numPr>
          <w:ilvl w:val="2"/>
          <w:numId w:val="8"/>
        </w:numPr>
      </w:pPr>
      <w:r>
        <w:t xml:space="preserve">ETS publishes a ‘major field test’ for Psychology. </w:t>
      </w:r>
    </w:p>
    <w:p w14:paraId="6CF6364E" w14:textId="77777777" w:rsidR="000A0A55" w:rsidRDefault="000A0A55" w:rsidP="000A0A55">
      <w:pPr>
        <w:pStyle w:val="ListParagraph"/>
        <w:numPr>
          <w:ilvl w:val="1"/>
          <w:numId w:val="8"/>
        </w:numPr>
      </w:pPr>
      <w:r>
        <w:t xml:space="preserve">Lacking resources from the university to carry out 2.a., the department has chosen to use Criterion-referenced assessments of psychology knowledge. Each semester a subset of instructors  identifies 10 to 20 multiple test items that assess core concepts from the course. Another professor in the department who is qualified in the content area independently judges the nominated items. The percentage correct overall on the items is then tallied. The department goal for these criterion-referenced content items is 80% correct. In addition, the department examines the individual items to see the range of performance on the items as an indicator of content areas in which instruction can be improved.  </w:t>
      </w:r>
    </w:p>
    <w:p w14:paraId="3C8E3C2E" w14:textId="77777777" w:rsidR="000A0A55" w:rsidRDefault="000A0A55" w:rsidP="000A0A55">
      <w:pPr>
        <w:pStyle w:val="ListParagraph"/>
        <w:numPr>
          <w:ilvl w:val="2"/>
          <w:numId w:val="8"/>
        </w:numPr>
      </w:pPr>
    </w:p>
    <w:p w14:paraId="37A795A4" w14:textId="77777777" w:rsidR="000A0A55" w:rsidRDefault="000A0A55" w:rsidP="000A0A55">
      <w:pPr>
        <w:pStyle w:val="ListParagraph"/>
        <w:numPr>
          <w:ilvl w:val="0"/>
          <w:numId w:val="8"/>
        </w:numPr>
      </w:pPr>
      <w:r>
        <w:t xml:space="preserve">Other metrics: Engagement, Outreach, and Integration of Learning and Engagement; Research productivity and student research funding. </w:t>
      </w:r>
    </w:p>
    <w:p w14:paraId="332481C1" w14:textId="77777777" w:rsidR="000A0A55" w:rsidRDefault="000A0A55" w:rsidP="000A0A55">
      <w:pPr>
        <w:pStyle w:val="ListParagraph"/>
        <w:numPr>
          <w:ilvl w:val="1"/>
          <w:numId w:val="8"/>
        </w:numPr>
      </w:pPr>
      <w:r>
        <w:t xml:space="preserve">The department tracks the number of students and student credit hours in Psyx 490R (research), Psyx 495 (Field Practicum) as measures of Engagement, Outreach, and Integration opportunities successfully offered to our students. </w:t>
      </w:r>
    </w:p>
    <w:p w14:paraId="1A92A667" w14:textId="77777777" w:rsidR="000A0A55" w:rsidRDefault="000A0A55" w:rsidP="000A0A55">
      <w:pPr>
        <w:pStyle w:val="ListParagraph"/>
        <w:numPr>
          <w:ilvl w:val="1"/>
          <w:numId w:val="8"/>
        </w:numPr>
      </w:pPr>
      <w:r>
        <w:t xml:space="preserve">The department tracks the number of students receiving different forms of research funding, such as USP, INBRE, etc. </w:t>
      </w:r>
    </w:p>
    <w:p w14:paraId="0706765E" w14:textId="77777777" w:rsidR="000A0A55" w:rsidRDefault="000A0A55" w:rsidP="000A0A55">
      <w:pPr>
        <w:pStyle w:val="ListParagraph"/>
        <w:numPr>
          <w:ilvl w:val="1"/>
          <w:numId w:val="8"/>
        </w:numPr>
      </w:pPr>
      <w:r>
        <w:t>The department tracks the number of students who are authors or co-authors on presentations at student conferences and professional research conferences.</w:t>
      </w:r>
    </w:p>
    <w:p w14:paraId="1DF7A96D" w14:textId="77777777" w:rsidR="000A0A55" w:rsidRDefault="000A0A55" w:rsidP="000A0A55">
      <w:pPr>
        <w:pStyle w:val="ListParagraph"/>
        <w:numPr>
          <w:ilvl w:val="1"/>
          <w:numId w:val="8"/>
        </w:numPr>
      </w:pPr>
      <w:r>
        <w:t xml:space="preserve">The department tracks the number of students who are authors or co-authors on publications in peer-refereed journals. </w:t>
      </w:r>
    </w:p>
    <w:p w14:paraId="44812918" w14:textId="77777777" w:rsidR="000A0A55" w:rsidRDefault="000A0A55" w:rsidP="00352D9A">
      <w:pPr>
        <w:rPr>
          <w:color w:val="FF0000"/>
        </w:rPr>
      </w:pPr>
    </w:p>
    <w:p w14:paraId="3077496D" w14:textId="1B59BDD9" w:rsidR="00352D9A" w:rsidRPr="000A0A55" w:rsidRDefault="000A0A55" w:rsidP="000A0A55">
      <w:pPr>
        <w:rPr>
          <w:color w:val="000000" w:themeColor="text1"/>
        </w:rPr>
      </w:pPr>
      <w:r w:rsidRPr="000A0A55">
        <w:rPr>
          <w:color w:val="000000" w:themeColor="text1"/>
        </w:rPr>
        <w:t xml:space="preserve"> </w:t>
      </w:r>
      <w:r w:rsidR="003D3FF3" w:rsidRPr="003D3FF3">
        <w:rPr>
          <w:i/>
          <w:color w:val="000000" w:themeColor="text1"/>
        </w:rPr>
        <w:t>Table1.</w:t>
      </w:r>
      <w:r w:rsidR="003D3FF3">
        <w:rPr>
          <w:color w:val="000000" w:themeColor="text1"/>
        </w:rPr>
        <w:t xml:space="preserve"> T</w:t>
      </w:r>
      <w:r w:rsidRPr="000A0A55">
        <w:rPr>
          <w:color w:val="000000" w:themeColor="text1"/>
        </w:rPr>
        <w:t>imeline for the Psychology department’s undergraduate assessment.</w:t>
      </w:r>
    </w:p>
    <w:p w14:paraId="65CB053A" w14:textId="77777777" w:rsidR="000A0A55" w:rsidRPr="00473BDB" w:rsidRDefault="000A0A55" w:rsidP="00352D9A">
      <w:pPr>
        <w:rPr>
          <w:color w:val="FF0000"/>
        </w:rPr>
      </w:pPr>
    </w:p>
    <w:tbl>
      <w:tblPr>
        <w:tblStyle w:val="TableGrid1"/>
        <w:tblW w:w="10676" w:type="dxa"/>
        <w:tblLook w:val="00A0" w:firstRow="1" w:lastRow="0" w:firstColumn="1" w:lastColumn="0" w:noHBand="0" w:noVBand="0"/>
      </w:tblPr>
      <w:tblGrid>
        <w:gridCol w:w="1767"/>
        <w:gridCol w:w="1236"/>
        <w:gridCol w:w="1235"/>
        <w:gridCol w:w="1235"/>
        <w:gridCol w:w="1235"/>
        <w:gridCol w:w="1562"/>
        <w:gridCol w:w="2406"/>
      </w:tblGrid>
      <w:tr w:rsidR="000A0A55" w14:paraId="32A0DEB1" w14:textId="77777777" w:rsidTr="000A0A55">
        <w:tc>
          <w:tcPr>
            <w:tcW w:w="1767" w:type="dxa"/>
          </w:tcPr>
          <w:p w14:paraId="27A316E2" w14:textId="77777777" w:rsidR="000A0A55" w:rsidRDefault="000A0A55" w:rsidP="00435328"/>
        </w:tc>
        <w:tc>
          <w:tcPr>
            <w:tcW w:w="1236" w:type="dxa"/>
          </w:tcPr>
          <w:p w14:paraId="36B197D2" w14:textId="77777777" w:rsidR="000A0A55" w:rsidRDefault="000A0A55" w:rsidP="00435328">
            <w:r>
              <w:t>2011-2012</w:t>
            </w:r>
          </w:p>
        </w:tc>
        <w:tc>
          <w:tcPr>
            <w:tcW w:w="1235" w:type="dxa"/>
          </w:tcPr>
          <w:p w14:paraId="561A2436" w14:textId="77777777" w:rsidR="000A0A55" w:rsidRDefault="000A0A55" w:rsidP="00435328">
            <w:r>
              <w:t>2012-2013</w:t>
            </w:r>
          </w:p>
        </w:tc>
        <w:tc>
          <w:tcPr>
            <w:tcW w:w="1235" w:type="dxa"/>
          </w:tcPr>
          <w:p w14:paraId="43EC0C0D" w14:textId="77777777" w:rsidR="000A0A55" w:rsidRDefault="000A0A55" w:rsidP="00435328">
            <w:r>
              <w:t>2013-2014</w:t>
            </w:r>
          </w:p>
        </w:tc>
        <w:tc>
          <w:tcPr>
            <w:tcW w:w="1235" w:type="dxa"/>
          </w:tcPr>
          <w:p w14:paraId="51971FCB" w14:textId="77777777" w:rsidR="000A0A55" w:rsidRDefault="000A0A55" w:rsidP="00435328">
            <w:r>
              <w:t>2014-2015</w:t>
            </w:r>
          </w:p>
        </w:tc>
        <w:tc>
          <w:tcPr>
            <w:tcW w:w="1562" w:type="dxa"/>
          </w:tcPr>
          <w:p w14:paraId="2DAB9D1E" w14:textId="77777777" w:rsidR="000A0A55" w:rsidRDefault="000A0A55" w:rsidP="00435328">
            <w:r>
              <w:t>Rubrics</w:t>
            </w:r>
          </w:p>
        </w:tc>
        <w:tc>
          <w:tcPr>
            <w:tcW w:w="2406" w:type="dxa"/>
          </w:tcPr>
          <w:p w14:paraId="2BB750BB" w14:textId="77777777" w:rsidR="000A0A55" w:rsidRDefault="000A0A55" w:rsidP="00435328">
            <w:r>
              <w:t>Courses for data</w:t>
            </w:r>
          </w:p>
        </w:tc>
      </w:tr>
      <w:tr w:rsidR="000A0A55" w14:paraId="32A9F60B" w14:textId="77777777" w:rsidTr="000A0A55">
        <w:tc>
          <w:tcPr>
            <w:tcW w:w="1767" w:type="dxa"/>
          </w:tcPr>
          <w:p w14:paraId="608BEE16" w14:textId="77777777" w:rsidR="000A0A55" w:rsidRDefault="000A0A55" w:rsidP="00435328">
            <w:r>
              <w:t xml:space="preserve">1. Psychology </w:t>
            </w:r>
            <w:r>
              <w:lastRenderedPageBreak/>
              <w:t>Knowledge Base</w:t>
            </w:r>
          </w:p>
        </w:tc>
        <w:tc>
          <w:tcPr>
            <w:tcW w:w="1236" w:type="dxa"/>
          </w:tcPr>
          <w:p w14:paraId="7339AE43" w14:textId="77777777" w:rsidR="000A0A55" w:rsidRDefault="000A0A55" w:rsidP="00435328"/>
        </w:tc>
        <w:tc>
          <w:tcPr>
            <w:tcW w:w="1235" w:type="dxa"/>
          </w:tcPr>
          <w:p w14:paraId="06DF2C3E" w14:textId="77777777" w:rsidR="000A0A55" w:rsidRDefault="000A0A55" w:rsidP="00435328">
            <w:r>
              <w:t xml:space="preserve"> X</w:t>
            </w:r>
          </w:p>
        </w:tc>
        <w:tc>
          <w:tcPr>
            <w:tcW w:w="1235" w:type="dxa"/>
          </w:tcPr>
          <w:p w14:paraId="3AB0E937" w14:textId="77777777" w:rsidR="000A0A55" w:rsidRDefault="000A0A55" w:rsidP="00435328">
            <w:r>
              <w:t>X</w:t>
            </w:r>
          </w:p>
        </w:tc>
        <w:tc>
          <w:tcPr>
            <w:tcW w:w="1235" w:type="dxa"/>
          </w:tcPr>
          <w:p w14:paraId="2FEFC0A4" w14:textId="77777777" w:rsidR="000A0A55" w:rsidRDefault="000A0A55" w:rsidP="00435328">
            <w:r>
              <w:t>X</w:t>
            </w:r>
          </w:p>
        </w:tc>
        <w:tc>
          <w:tcPr>
            <w:tcW w:w="1562" w:type="dxa"/>
          </w:tcPr>
          <w:p w14:paraId="1BBE2F5E" w14:textId="77777777" w:rsidR="000A0A55" w:rsidRDefault="000A0A55" w:rsidP="00435328">
            <w:r>
              <w:t xml:space="preserve"> Criterion-</w:t>
            </w:r>
            <w:r>
              <w:lastRenderedPageBreak/>
              <w:t>referenced test items</w:t>
            </w:r>
          </w:p>
        </w:tc>
        <w:tc>
          <w:tcPr>
            <w:tcW w:w="2406" w:type="dxa"/>
          </w:tcPr>
          <w:p w14:paraId="6A2BF02E" w14:textId="77777777" w:rsidR="000A0A55" w:rsidRDefault="000A0A55" w:rsidP="00435328">
            <w:r>
              <w:lastRenderedPageBreak/>
              <w:t xml:space="preserve">all courses (different </w:t>
            </w:r>
            <w:r>
              <w:lastRenderedPageBreak/>
              <w:t xml:space="preserve">courses in different years). A minimum of one course per year will be assessed. </w:t>
            </w:r>
          </w:p>
        </w:tc>
      </w:tr>
      <w:tr w:rsidR="000A0A55" w14:paraId="61666710" w14:textId="77777777" w:rsidTr="000A0A55">
        <w:tc>
          <w:tcPr>
            <w:tcW w:w="1767" w:type="dxa"/>
          </w:tcPr>
          <w:p w14:paraId="3D50DBF6" w14:textId="77777777" w:rsidR="000A0A55" w:rsidRDefault="000A0A55" w:rsidP="00435328">
            <w:r>
              <w:lastRenderedPageBreak/>
              <w:t>2. Research Methods</w:t>
            </w:r>
          </w:p>
        </w:tc>
        <w:tc>
          <w:tcPr>
            <w:tcW w:w="1236" w:type="dxa"/>
          </w:tcPr>
          <w:p w14:paraId="62134FA5" w14:textId="77777777" w:rsidR="000A0A55" w:rsidRDefault="000A0A55" w:rsidP="00435328">
            <w:r>
              <w:t xml:space="preserve">  X</w:t>
            </w:r>
          </w:p>
        </w:tc>
        <w:tc>
          <w:tcPr>
            <w:tcW w:w="1235" w:type="dxa"/>
          </w:tcPr>
          <w:p w14:paraId="19E360A2" w14:textId="77777777" w:rsidR="000A0A55" w:rsidRDefault="000A0A55" w:rsidP="00435328">
            <w:r>
              <w:t xml:space="preserve"> X</w:t>
            </w:r>
          </w:p>
        </w:tc>
        <w:tc>
          <w:tcPr>
            <w:tcW w:w="1235" w:type="dxa"/>
          </w:tcPr>
          <w:p w14:paraId="42FEEBB6" w14:textId="77777777" w:rsidR="000A0A55" w:rsidRDefault="000A0A55" w:rsidP="00435328">
            <w:r>
              <w:t xml:space="preserve">  X</w:t>
            </w:r>
          </w:p>
        </w:tc>
        <w:tc>
          <w:tcPr>
            <w:tcW w:w="1235" w:type="dxa"/>
          </w:tcPr>
          <w:p w14:paraId="48A57C2F" w14:textId="77777777" w:rsidR="000A0A55" w:rsidRDefault="000A0A55" w:rsidP="00435328">
            <w:r>
              <w:t>X</w:t>
            </w:r>
          </w:p>
        </w:tc>
        <w:tc>
          <w:tcPr>
            <w:tcW w:w="1562" w:type="dxa"/>
          </w:tcPr>
          <w:p w14:paraId="0F99F377" w14:textId="77777777" w:rsidR="000A0A55" w:rsidRDefault="000A0A55" w:rsidP="00435328">
            <w:r>
              <w:t>LEAP,  publications and presentations</w:t>
            </w:r>
          </w:p>
        </w:tc>
        <w:tc>
          <w:tcPr>
            <w:tcW w:w="2406" w:type="dxa"/>
          </w:tcPr>
          <w:p w14:paraId="201DCE49" w14:textId="77777777" w:rsidR="000A0A55" w:rsidRDefault="000A0A55" w:rsidP="00435328">
            <w:r>
              <w:t>Psyx 499R</w:t>
            </w:r>
          </w:p>
          <w:p w14:paraId="327F86E2" w14:textId="77777777" w:rsidR="000A0A55" w:rsidRDefault="000A0A55" w:rsidP="00435328">
            <w:r>
              <w:t>Psyx 223, 225, 490R</w:t>
            </w:r>
          </w:p>
        </w:tc>
      </w:tr>
      <w:tr w:rsidR="000A0A55" w14:paraId="22AEAFF6" w14:textId="77777777" w:rsidTr="000A0A55">
        <w:tc>
          <w:tcPr>
            <w:tcW w:w="1767" w:type="dxa"/>
          </w:tcPr>
          <w:p w14:paraId="308CBE49" w14:textId="77777777" w:rsidR="000A0A55" w:rsidRDefault="000A0A55" w:rsidP="00435328">
            <w:r>
              <w:t>3. Critical thinking in Psychology</w:t>
            </w:r>
          </w:p>
        </w:tc>
        <w:tc>
          <w:tcPr>
            <w:tcW w:w="1236" w:type="dxa"/>
          </w:tcPr>
          <w:p w14:paraId="226CB875" w14:textId="77777777" w:rsidR="000A0A55" w:rsidRDefault="000A0A55" w:rsidP="00435328">
            <w:r>
              <w:t xml:space="preserve">  X</w:t>
            </w:r>
          </w:p>
        </w:tc>
        <w:tc>
          <w:tcPr>
            <w:tcW w:w="1235" w:type="dxa"/>
          </w:tcPr>
          <w:p w14:paraId="3FED3459" w14:textId="77777777" w:rsidR="000A0A55" w:rsidRDefault="000A0A55" w:rsidP="00435328">
            <w:r>
              <w:t xml:space="preserve">  X</w:t>
            </w:r>
          </w:p>
        </w:tc>
        <w:tc>
          <w:tcPr>
            <w:tcW w:w="1235" w:type="dxa"/>
          </w:tcPr>
          <w:p w14:paraId="09FE1DFE" w14:textId="77777777" w:rsidR="000A0A55" w:rsidRDefault="000A0A55" w:rsidP="00435328">
            <w:r>
              <w:t xml:space="preserve">  X</w:t>
            </w:r>
          </w:p>
        </w:tc>
        <w:tc>
          <w:tcPr>
            <w:tcW w:w="1235" w:type="dxa"/>
          </w:tcPr>
          <w:p w14:paraId="74D13CB6" w14:textId="77777777" w:rsidR="000A0A55" w:rsidRDefault="000A0A55" w:rsidP="00435328"/>
        </w:tc>
        <w:tc>
          <w:tcPr>
            <w:tcW w:w="1562" w:type="dxa"/>
          </w:tcPr>
          <w:p w14:paraId="1A130F1A" w14:textId="77777777" w:rsidR="000A0A55" w:rsidRDefault="000A0A55" w:rsidP="00435328">
            <w:r>
              <w:t>LEAP</w:t>
            </w:r>
          </w:p>
        </w:tc>
        <w:tc>
          <w:tcPr>
            <w:tcW w:w="2406" w:type="dxa"/>
          </w:tcPr>
          <w:p w14:paraId="68370B05" w14:textId="77777777" w:rsidR="000A0A55" w:rsidRDefault="000A0A55" w:rsidP="00435328">
            <w:r>
              <w:t xml:space="preserve">Psyx 225, 499R, </w:t>
            </w:r>
          </w:p>
        </w:tc>
      </w:tr>
      <w:tr w:rsidR="000A0A55" w14:paraId="11E9B135" w14:textId="77777777" w:rsidTr="000A0A55">
        <w:tc>
          <w:tcPr>
            <w:tcW w:w="1767" w:type="dxa"/>
          </w:tcPr>
          <w:p w14:paraId="22A12E7C" w14:textId="77777777" w:rsidR="000A0A55" w:rsidRDefault="000A0A55" w:rsidP="00435328">
            <w:r>
              <w:t>4. Apply psychology to practical problems</w:t>
            </w:r>
          </w:p>
        </w:tc>
        <w:tc>
          <w:tcPr>
            <w:tcW w:w="1236" w:type="dxa"/>
          </w:tcPr>
          <w:p w14:paraId="1C8114C7" w14:textId="77777777" w:rsidR="000A0A55" w:rsidRDefault="000A0A55" w:rsidP="00435328"/>
        </w:tc>
        <w:tc>
          <w:tcPr>
            <w:tcW w:w="1235" w:type="dxa"/>
          </w:tcPr>
          <w:p w14:paraId="1F06E5F2" w14:textId="77777777" w:rsidR="000A0A55" w:rsidRDefault="000A0A55" w:rsidP="00435328"/>
        </w:tc>
        <w:tc>
          <w:tcPr>
            <w:tcW w:w="1235" w:type="dxa"/>
          </w:tcPr>
          <w:p w14:paraId="66B02B9C" w14:textId="77777777" w:rsidR="000A0A55" w:rsidRDefault="000A0A55" w:rsidP="00435328">
            <w:r>
              <w:t xml:space="preserve"> X</w:t>
            </w:r>
          </w:p>
        </w:tc>
        <w:tc>
          <w:tcPr>
            <w:tcW w:w="1235" w:type="dxa"/>
          </w:tcPr>
          <w:p w14:paraId="0F85F071" w14:textId="77777777" w:rsidR="000A0A55" w:rsidRDefault="000A0A55" w:rsidP="00435328">
            <w:r>
              <w:t>X</w:t>
            </w:r>
          </w:p>
        </w:tc>
        <w:tc>
          <w:tcPr>
            <w:tcW w:w="1562" w:type="dxa"/>
          </w:tcPr>
          <w:p w14:paraId="2065E0B1" w14:textId="77777777" w:rsidR="000A0A55" w:rsidRDefault="000A0A55" w:rsidP="00435328">
            <w:r>
              <w:t>Criterion-referenced test items</w:t>
            </w:r>
          </w:p>
        </w:tc>
        <w:tc>
          <w:tcPr>
            <w:tcW w:w="2406" w:type="dxa"/>
          </w:tcPr>
          <w:p w14:paraId="7F699E45" w14:textId="77777777" w:rsidR="000A0A55" w:rsidRDefault="000A0A55" w:rsidP="00435328">
            <w:r>
              <w:t>Psyx 370, 375, 475, 495</w:t>
            </w:r>
          </w:p>
        </w:tc>
      </w:tr>
      <w:tr w:rsidR="000A0A55" w14:paraId="556CD937" w14:textId="77777777" w:rsidTr="000A0A55">
        <w:tc>
          <w:tcPr>
            <w:tcW w:w="1767" w:type="dxa"/>
          </w:tcPr>
          <w:p w14:paraId="4D4006B6" w14:textId="77777777" w:rsidR="000A0A55" w:rsidRDefault="000A0A55" w:rsidP="00435328">
            <w:r>
              <w:t>5. Values in psychology</w:t>
            </w:r>
          </w:p>
        </w:tc>
        <w:tc>
          <w:tcPr>
            <w:tcW w:w="1236" w:type="dxa"/>
          </w:tcPr>
          <w:p w14:paraId="2C4E4065" w14:textId="77777777" w:rsidR="000A0A55" w:rsidRDefault="000A0A55" w:rsidP="00435328">
            <w:r>
              <w:t xml:space="preserve"> X</w:t>
            </w:r>
          </w:p>
        </w:tc>
        <w:tc>
          <w:tcPr>
            <w:tcW w:w="1235" w:type="dxa"/>
          </w:tcPr>
          <w:p w14:paraId="51093915" w14:textId="77777777" w:rsidR="000A0A55" w:rsidRDefault="000A0A55" w:rsidP="00435328">
            <w:r>
              <w:t xml:space="preserve"> X</w:t>
            </w:r>
          </w:p>
        </w:tc>
        <w:tc>
          <w:tcPr>
            <w:tcW w:w="1235" w:type="dxa"/>
          </w:tcPr>
          <w:p w14:paraId="69DFC506" w14:textId="77777777" w:rsidR="000A0A55" w:rsidRDefault="000A0A55" w:rsidP="00435328">
            <w:r>
              <w:t xml:space="preserve">  X</w:t>
            </w:r>
          </w:p>
        </w:tc>
        <w:tc>
          <w:tcPr>
            <w:tcW w:w="1235" w:type="dxa"/>
          </w:tcPr>
          <w:p w14:paraId="489674AF" w14:textId="77777777" w:rsidR="000A0A55" w:rsidRDefault="000A0A55" w:rsidP="00435328">
            <w:r>
              <w:t>X</w:t>
            </w:r>
          </w:p>
        </w:tc>
        <w:tc>
          <w:tcPr>
            <w:tcW w:w="1562" w:type="dxa"/>
          </w:tcPr>
          <w:p w14:paraId="4F0740EE" w14:textId="77777777" w:rsidR="000A0A55" w:rsidRDefault="000A0A55" w:rsidP="00435328">
            <w:r>
              <w:t>Lawrence Rubric</w:t>
            </w:r>
          </w:p>
        </w:tc>
        <w:tc>
          <w:tcPr>
            <w:tcW w:w="2406" w:type="dxa"/>
          </w:tcPr>
          <w:p w14:paraId="6452BEC1" w14:textId="77777777" w:rsidR="000A0A55" w:rsidRDefault="000A0A55" w:rsidP="00435328">
            <w:r>
              <w:t>Psyx  225, 499R</w:t>
            </w:r>
          </w:p>
        </w:tc>
      </w:tr>
      <w:tr w:rsidR="000A0A55" w14:paraId="3FA18AD6" w14:textId="77777777" w:rsidTr="000A0A55">
        <w:tc>
          <w:tcPr>
            <w:tcW w:w="1767" w:type="dxa"/>
          </w:tcPr>
          <w:p w14:paraId="4BD5EA6C" w14:textId="77777777" w:rsidR="000A0A55" w:rsidRDefault="000A0A55" w:rsidP="00435328">
            <w:r>
              <w:t>6. Information and technological literacy</w:t>
            </w:r>
          </w:p>
        </w:tc>
        <w:tc>
          <w:tcPr>
            <w:tcW w:w="1236" w:type="dxa"/>
          </w:tcPr>
          <w:p w14:paraId="688F0A19" w14:textId="77777777" w:rsidR="000A0A55" w:rsidRDefault="000A0A55" w:rsidP="00435328"/>
        </w:tc>
        <w:tc>
          <w:tcPr>
            <w:tcW w:w="1235" w:type="dxa"/>
          </w:tcPr>
          <w:p w14:paraId="52834B41" w14:textId="77777777" w:rsidR="000A0A55" w:rsidRDefault="000A0A55" w:rsidP="00435328">
            <w:r>
              <w:t>X</w:t>
            </w:r>
          </w:p>
        </w:tc>
        <w:tc>
          <w:tcPr>
            <w:tcW w:w="1235" w:type="dxa"/>
          </w:tcPr>
          <w:p w14:paraId="11EAE537" w14:textId="77777777" w:rsidR="000A0A55" w:rsidRDefault="000A0A55" w:rsidP="00435328"/>
        </w:tc>
        <w:tc>
          <w:tcPr>
            <w:tcW w:w="1235" w:type="dxa"/>
          </w:tcPr>
          <w:p w14:paraId="7B683855" w14:textId="77777777" w:rsidR="000A0A55" w:rsidRDefault="000A0A55" w:rsidP="00435328"/>
        </w:tc>
        <w:tc>
          <w:tcPr>
            <w:tcW w:w="1562" w:type="dxa"/>
          </w:tcPr>
          <w:p w14:paraId="68460E69" w14:textId="77777777" w:rsidR="000A0A55" w:rsidRDefault="000A0A55" w:rsidP="00435328">
            <w:r>
              <w:t>LEAP</w:t>
            </w:r>
          </w:p>
        </w:tc>
        <w:tc>
          <w:tcPr>
            <w:tcW w:w="2406" w:type="dxa"/>
          </w:tcPr>
          <w:p w14:paraId="62A3C3F5" w14:textId="77777777" w:rsidR="000A0A55" w:rsidRDefault="000A0A55" w:rsidP="00435328">
            <w:r>
              <w:t>Psyx 223, 225, 499R plus others</w:t>
            </w:r>
          </w:p>
        </w:tc>
      </w:tr>
      <w:tr w:rsidR="000A0A55" w14:paraId="55BA86DA" w14:textId="77777777" w:rsidTr="000A0A55">
        <w:tc>
          <w:tcPr>
            <w:tcW w:w="1767" w:type="dxa"/>
          </w:tcPr>
          <w:p w14:paraId="3357FEBF" w14:textId="77777777" w:rsidR="000A0A55" w:rsidRDefault="000A0A55" w:rsidP="00435328">
            <w:r>
              <w:t>7. Communication skills</w:t>
            </w:r>
          </w:p>
        </w:tc>
        <w:tc>
          <w:tcPr>
            <w:tcW w:w="1236" w:type="dxa"/>
          </w:tcPr>
          <w:p w14:paraId="51D4B868" w14:textId="77777777" w:rsidR="000A0A55" w:rsidRDefault="000A0A55" w:rsidP="00435328">
            <w:r>
              <w:t xml:space="preserve">  X </w:t>
            </w:r>
          </w:p>
        </w:tc>
        <w:tc>
          <w:tcPr>
            <w:tcW w:w="1235" w:type="dxa"/>
          </w:tcPr>
          <w:p w14:paraId="68B35182" w14:textId="77777777" w:rsidR="000A0A55" w:rsidRDefault="000A0A55" w:rsidP="00435328">
            <w:r>
              <w:t xml:space="preserve">  X</w:t>
            </w:r>
          </w:p>
        </w:tc>
        <w:tc>
          <w:tcPr>
            <w:tcW w:w="1235" w:type="dxa"/>
          </w:tcPr>
          <w:p w14:paraId="424ADF5D" w14:textId="77777777" w:rsidR="000A0A55" w:rsidRDefault="000A0A55" w:rsidP="00435328">
            <w:r>
              <w:t xml:space="preserve">  X</w:t>
            </w:r>
          </w:p>
        </w:tc>
        <w:tc>
          <w:tcPr>
            <w:tcW w:w="1235" w:type="dxa"/>
          </w:tcPr>
          <w:p w14:paraId="4D67C548" w14:textId="77777777" w:rsidR="000A0A55" w:rsidRDefault="000A0A55" w:rsidP="00435328"/>
        </w:tc>
        <w:tc>
          <w:tcPr>
            <w:tcW w:w="1562" w:type="dxa"/>
          </w:tcPr>
          <w:p w14:paraId="21083479" w14:textId="77777777" w:rsidR="000A0A55" w:rsidRDefault="000A0A55" w:rsidP="00435328">
            <w:r>
              <w:t>LEAP</w:t>
            </w:r>
          </w:p>
        </w:tc>
        <w:tc>
          <w:tcPr>
            <w:tcW w:w="2406" w:type="dxa"/>
          </w:tcPr>
          <w:p w14:paraId="52D1CD37" w14:textId="77777777" w:rsidR="000A0A55" w:rsidRDefault="000A0A55" w:rsidP="00435328">
            <w:r>
              <w:t>Psyx 225, 499R</w:t>
            </w:r>
          </w:p>
        </w:tc>
      </w:tr>
      <w:tr w:rsidR="000A0A55" w14:paraId="4F960F46" w14:textId="77777777" w:rsidTr="000A0A55">
        <w:tc>
          <w:tcPr>
            <w:tcW w:w="1767" w:type="dxa"/>
          </w:tcPr>
          <w:p w14:paraId="6FD44B29" w14:textId="77777777" w:rsidR="000A0A55" w:rsidRDefault="000A0A55" w:rsidP="00435328">
            <w:r>
              <w:t>8. Sociocultural and international awareness</w:t>
            </w:r>
          </w:p>
        </w:tc>
        <w:tc>
          <w:tcPr>
            <w:tcW w:w="1236" w:type="dxa"/>
          </w:tcPr>
          <w:p w14:paraId="3E54484D" w14:textId="77777777" w:rsidR="000A0A55" w:rsidRDefault="000A0A55" w:rsidP="00435328"/>
        </w:tc>
        <w:tc>
          <w:tcPr>
            <w:tcW w:w="1235" w:type="dxa"/>
          </w:tcPr>
          <w:p w14:paraId="426674BC" w14:textId="77777777" w:rsidR="000A0A55" w:rsidRDefault="000A0A55" w:rsidP="00435328"/>
        </w:tc>
        <w:tc>
          <w:tcPr>
            <w:tcW w:w="1235" w:type="dxa"/>
          </w:tcPr>
          <w:p w14:paraId="6F992410" w14:textId="77777777" w:rsidR="000A0A55" w:rsidRDefault="000A0A55" w:rsidP="00435328">
            <w:r>
              <w:t xml:space="preserve"> X</w:t>
            </w:r>
          </w:p>
        </w:tc>
        <w:tc>
          <w:tcPr>
            <w:tcW w:w="1235" w:type="dxa"/>
          </w:tcPr>
          <w:p w14:paraId="61097CDC" w14:textId="77777777" w:rsidR="000A0A55" w:rsidRDefault="000A0A55" w:rsidP="00435328"/>
        </w:tc>
        <w:tc>
          <w:tcPr>
            <w:tcW w:w="1562" w:type="dxa"/>
          </w:tcPr>
          <w:p w14:paraId="4407F849" w14:textId="77777777" w:rsidR="000A0A55" w:rsidRDefault="000A0A55" w:rsidP="00435328">
            <w:r>
              <w:t>LEAP</w:t>
            </w:r>
          </w:p>
        </w:tc>
        <w:tc>
          <w:tcPr>
            <w:tcW w:w="2406" w:type="dxa"/>
          </w:tcPr>
          <w:p w14:paraId="00CCE5BC" w14:textId="77777777" w:rsidR="000A0A55" w:rsidRDefault="000A0A55" w:rsidP="00435328">
            <w:r>
              <w:t xml:space="preserve">Psyx 235D, 333, 335, 462 </w:t>
            </w:r>
          </w:p>
        </w:tc>
      </w:tr>
      <w:tr w:rsidR="000A0A55" w14:paraId="168E7516" w14:textId="77777777" w:rsidTr="000A0A55">
        <w:tc>
          <w:tcPr>
            <w:tcW w:w="1767" w:type="dxa"/>
          </w:tcPr>
          <w:p w14:paraId="4AD4D030" w14:textId="77777777" w:rsidR="000A0A55" w:rsidRDefault="000A0A55" w:rsidP="00435328">
            <w:r>
              <w:t>9. Personal development</w:t>
            </w:r>
          </w:p>
        </w:tc>
        <w:tc>
          <w:tcPr>
            <w:tcW w:w="1236" w:type="dxa"/>
          </w:tcPr>
          <w:p w14:paraId="6143ABFC" w14:textId="77777777" w:rsidR="000A0A55" w:rsidRDefault="000A0A55" w:rsidP="00435328"/>
        </w:tc>
        <w:tc>
          <w:tcPr>
            <w:tcW w:w="1235" w:type="dxa"/>
          </w:tcPr>
          <w:p w14:paraId="7C29C79F" w14:textId="77777777" w:rsidR="000A0A55" w:rsidRDefault="000A0A55" w:rsidP="00435328"/>
        </w:tc>
        <w:tc>
          <w:tcPr>
            <w:tcW w:w="1235" w:type="dxa"/>
          </w:tcPr>
          <w:p w14:paraId="69DC203C" w14:textId="77777777" w:rsidR="000A0A55" w:rsidRDefault="000A0A55" w:rsidP="00435328">
            <w:r>
              <w:t xml:space="preserve"> X</w:t>
            </w:r>
          </w:p>
        </w:tc>
        <w:tc>
          <w:tcPr>
            <w:tcW w:w="1235" w:type="dxa"/>
          </w:tcPr>
          <w:p w14:paraId="3CCD9934" w14:textId="77777777" w:rsidR="000A0A55" w:rsidRDefault="000A0A55" w:rsidP="00435328"/>
        </w:tc>
        <w:tc>
          <w:tcPr>
            <w:tcW w:w="1562" w:type="dxa"/>
          </w:tcPr>
          <w:p w14:paraId="367B3FF3" w14:textId="77777777" w:rsidR="000A0A55" w:rsidRDefault="000A0A55" w:rsidP="00435328">
            <w:r>
              <w:t>Senior survey</w:t>
            </w:r>
          </w:p>
        </w:tc>
        <w:tc>
          <w:tcPr>
            <w:tcW w:w="2406" w:type="dxa"/>
          </w:tcPr>
          <w:p w14:paraId="315121DF" w14:textId="77777777" w:rsidR="000A0A55" w:rsidRDefault="000A0A55" w:rsidP="00435328">
            <w:r>
              <w:t>Psyx 375, 475, 495</w:t>
            </w:r>
          </w:p>
          <w:p w14:paraId="108D44A0" w14:textId="77777777" w:rsidR="000A0A55" w:rsidRDefault="000A0A55" w:rsidP="00435328"/>
        </w:tc>
      </w:tr>
      <w:tr w:rsidR="000A0A55" w14:paraId="61DA9423" w14:textId="77777777" w:rsidTr="000A0A55">
        <w:tc>
          <w:tcPr>
            <w:tcW w:w="1767" w:type="dxa"/>
          </w:tcPr>
          <w:p w14:paraId="722E80FD" w14:textId="77777777" w:rsidR="000A0A55" w:rsidRDefault="000A0A55" w:rsidP="00435328">
            <w:r>
              <w:t>10. Engagement, Outreach, Integration</w:t>
            </w:r>
          </w:p>
        </w:tc>
        <w:tc>
          <w:tcPr>
            <w:tcW w:w="1236" w:type="dxa"/>
          </w:tcPr>
          <w:p w14:paraId="7D176C5B" w14:textId="77777777" w:rsidR="000A0A55" w:rsidRDefault="000A0A55" w:rsidP="00435328"/>
        </w:tc>
        <w:tc>
          <w:tcPr>
            <w:tcW w:w="1235" w:type="dxa"/>
          </w:tcPr>
          <w:p w14:paraId="06A4E868" w14:textId="77777777" w:rsidR="000A0A55" w:rsidRDefault="000A0A55" w:rsidP="00435328"/>
        </w:tc>
        <w:tc>
          <w:tcPr>
            <w:tcW w:w="1235" w:type="dxa"/>
          </w:tcPr>
          <w:p w14:paraId="7F748F4E" w14:textId="77777777" w:rsidR="000A0A55" w:rsidRDefault="000A0A55" w:rsidP="00435328">
            <w:r>
              <w:t>X</w:t>
            </w:r>
          </w:p>
        </w:tc>
        <w:tc>
          <w:tcPr>
            <w:tcW w:w="1235" w:type="dxa"/>
          </w:tcPr>
          <w:p w14:paraId="35AAA603" w14:textId="77777777" w:rsidR="000A0A55" w:rsidRDefault="000A0A55" w:rsidP="00435328">
            <w:r>
              <w:t>X</w:t>
            </w:r>
          </w:p>
        </w:tc>
        <w:tc>
          <w:tcPr>
            <w:tcW w:w="1562" w:type="dxa"/>
          </w:tcPr>
          <w:p w14:paraId="6EAF9289" w14:textId="77777777" w:rsidR="000A0A55" w:rsidRDefault="000A0A55" w:rsidP="00435328">
            <w:r>
              <w:t>Reported by faculty and from MSU online info</w:t>
            </w:r>
          </w:p>
        </w:tc>
        <w:tc>
          <w:tcPr>
            <w:tcW w:w="2406" w:type="dxa"/>
          </w:tcPr>
          <w:p w14:paraId="60957C9E" w14:textId="77777777" w:rsidR="000A0A55" w:rsidRDefault="000A0A55" w:rsidP="00435328">
            <w:r>
              <w:t>Psyx 490R, Psyx 495, Psyx 499R</w:t>
            </w:r>
          </w:p>
        </w:tc>
      </w:tr>
      <w:tr w:rsidR="000A0A55" w14:paraId="1FBF13A9" w14:textId="77777777" w:rsidTr="000A0A55">
        <w:tc>
          <w:tcPr>
            <w:tcW w:w="1767" w:type="dxa"/>
          </w:tcPr>
          <w:p w14:paraId="1971DB48" w14:textId="77777777" w:rsidR="000A0A55" w:rsidRDefault="000A0A55" w:rsidP="00435328">
            <w:r>
              <w:t>11. Research funding and productivity</w:t>
            </w:r>
          </w:p>
        </w:tc>
        <w:tc>
          <w:tcPr>
            <w:tcW w:w="1236" w:type="dxa"/>
          </w:tcPr>
          <w:p w14:paraId="3FF62775" w14:textId="77777777" w:rsidR="000A0A55" w:rsidRDefault="000A0A55" w:rsidP="00435328"/>
        </w:tc>
        <w:tc>
          <w:tcPr>
            <w:tcW w:w="1235" w:type="dxa"/>
          </w:tcPr>
          <w:p w14:paraId="61548639" w14:textId="77777777" w:rsidR="000A0A55" w:rsidRDefault="000A0A55" w:rsidP="00435328"/>
        </w:tc>
        <w:tc>
          <w:tcPr>
            <w:tcW w:w="1235" w:type="dxa"/>
          </w:tcPr>
          <w:p w14:paraId="02AE26EE" w14:textId="77777777" w:rsidR="000A0A55" w:rsidRDefault="000A0A55" w:rsidP="00435328"/>
        </w:tc>
        <w:tc>
          <w:tcPr>
            <w:tcW w:w="1235" w:type="dxa"/>
          </w:tcPr>
          <w:p w14:paraId="6E18335A" w14:textId="77777777" w:rsidR="000A0A55" w:rsidRDefault="000A0A55" w:rsidP="00435328">
            <w:r>
              <w:t>X</w:t>
            </w:r>
          </w:p>
        </w:tc>
        <w:tc>
          <w:tcPr>
            <w:tcW w:w="1562" w:type="dxa"/>
          </w:tcPr>
          <w:p w14:paraId="3176FB0F" w14:textId="77777777" w:rsidR="000A0A55" w:rsidRDefault="000A0A55" w:rsidP="00435328">
            <w:r>
              <w:t>Reported by faculty and students</w:t>
            </w:r>
          </w:p>
        </w:tc>
        <w:tc>
          <w:tcPr>
            <w:tcW w:w="2406" w:type="dxa"/>
          </w:tcPr>
          <w:p w14:paraId="3C8A467E" w14:textId="77777777" w:rsidR="000A0A55" w:rsidRDefault="000A0A55" w:rsidP="00435328">
            <w:r>
              <w:t>Results from Psyx 490R in part</w:t>
            </w:r>
          </w:p>
        </w:tc>
      </w:tr>
      <w:tr w:rsidR="000A0A55" w14:paraId="4143EC3F" w14:textId="77777777" w:rsidTr="000A0A55">
        <w:tc>
          <w:tcPr>
            <w:tcW w:w="1767" w:type="dxa"/>
          </w:tcPr>
          <w:p w14:paraId="0062039B" w14:textId="77777777" w:rsidR="000A0A55" w:rsidRDefault="000A0A55" w:rsidP="00435328"/>
        </w:tc>
        <w:tc>
          <w:tcPr>
            <w:tcW w:w="1236" w:type="dxa"/>
          </w:tcPr>
          <w:p w14:paraId="4B30F02E" w14:textId="77777777" w:rsidR="000A0A55" w:rsidRDefault="000A0A55" w:rsidP="00435328"/>
        </w:tc>
        <w:tc>
          <w:tcPr>
            <w:tcW w:w="1235" w:type="dxa"/>
          </w:tcPr>
          <w:p w14:paraId="2F7AE842" w14:textId="77777777" w:rsidR="000A0A55" w:rsidRDefault="000A0A55" w:rsidP="00435328"/>
        </w:tc>
        <w:tc>
          <w:tcPr>
            <w:tcW w:w="1235" w:type="dxa"/>
          </w:tcPr>
          <w:p w14:paraId="192D0226" w14:textId="77777777" w:rsidR="000A0A55" w:rsidRDefault="000A0A55" w:rsidP="00435328"/>
        </w:tc>
        <w:tc>
          <w:tcPr>
            <w:tcW w:w="1235" w:type="dxa"/>
          </w:tcPr>
          <w:p w14:paraId="6EB81AEF" w14:textId="77777777" w:rsidR="000A0A55" w:rsidRDefault="000A0A55" w:rsidP="00435328"/>
        </w:tc>
        <w:tc>
          <w:tcPr>
            <w:tcW w:w="1562" w:type="dxa"/>
          </w:tcPr>
          <w:p w14:paraId="27EE2655" w14:textId="77777777" w:rsidR="000A0A55" w:rsidRDefault="000A0A55" w:rsidP="00435328"/>
        </w:tc>
        <w:tc>
          <w:tcPr>
            <w:tcW w:w="2406" w:type="dxa"/>
          </w:tcPr>
          <w:p w14:paraId="764146BE" w14:textId="77777777" w:rsidR="000A0A55" w:rsidRDefault="000A0A55" w:rsidP="00435328"/>
        </w:tc>
      </w:tr>
    </w:tbl>
    <w:p w14:paraId="4BBA6DC1" w14:textId="77777777" w:rsidR="00352D9A" w:rsidRDefault="00352D9A" w:rsidP="00352D9A">
      <w:pPr>
        <w:rPr>
          <w:color w:val="FF0000"/>
        </w:rPr>
      </w:pPr>
    </w:p>
    <w:p w14:paraId="57B08D25" w14:textId="77777777" w:rsidR="000A0A55" w:rsidRDefault="000A0A55" w:rsidP="00352D9A">
      <w:pPr>
        <w:rPr>
          <w:color w:val="FF0000"/>
        </w:rPr>
      </w:pPr>
    </w:p>
    <w:p w14:paraId="2B23AD31" w14:textId="77777777" w:rsidR="000A0A55" w:rsidRPr="00473BDB" w:rsidRDefault="000A0A55" w:rsidP="00352D9A">
      <w:pPr>
        <w:rPr>
          <w:color w:val="FF0000"/>
        </w:rPr>
      </w:pPr>
    </w:p>
    <w:p w14:paraId="2E7BF097" w14:textId="758BFFA6" w:rsidR="000A0A55" w:rsidRDefault="000A0A55">
      <w:pPr>
        <w:spacing w:after="200" w:line="276" w:lineRule="auto"/>
      </w:pPr>
      <w:r>
        <w:br w:type="page"/>
      </w:r>
    </w:p>
    <w:p w14:paraId="7A1254DB" w14:textId="12A009EA" w:rsidR="000A0A55" w:rsidRPr="008B0672" w:rsidRDefault="000A0A55" w:rsidP="000A0A55">
      <w:pPr>
        <w:rPr>
          <w:sz w:val="20"/>
          <w:szCs w:val="20"/>
        </w:rPr>
      </w:pPr>
      <w:r w:rsidRPr="008B0672">
        <w:rPr>
          <w:b/>
          <w:sz w:val="20"/>
          <w:szCs w:val="20"/>
        </w:rPr>
        <w:lastRenderedPageBreak/>
        <w:t>Appendix A.</w:t>
      </w:r>
      <w:r w:rsidRPr="008B0672">
        <w:rPr>
          <w:sz w:val="20"/>
          <w:szCs w:val="20"/>
        </w:rPr>
        <w:t xml:space="preserve"> Lawrence University Psychology Department Capstone Assessment</w:t>
      </w:r>
    </w:p>
    <w:p w14:paraId="52F25A62" w14:textId="4F8D41CF" w:rsidR="000A0A55" w:rsidRPr="008B0672" w:rsidRDefault="000A0A55" w:rsidP="000A0A55">
      <w:pPr>
        <w:rPr>
          <w:sz w:val="20"/>
          <w:szCs w:val="20"/>
        </w:rPr>
      </w:pPr>
      <w:r w:rsidRPr="008B0672">
        <w:rPr>
          <w:sz w:val="20"/>
          <w:szCs w:val="20"/>
        </w:rPr>
        <w:t>Evaluation of Senior Capstone Presentations</w:t>
      </w:r>
      <w:r w:rsidRPr="008B0672">
        <w:rPr>
          <w:sz w:val="20"/>
          <w:szCs w:val="20"/>
        </w:rPr>
        <w:tab/>
      </w:r>
      <w:r w:rsidR="008B0672">
        <w:rPr>
          <w:sz w:val="20"/>
          <w:szCs w:val="20"/>
        </w:rPr>
        <w:t>D</w:t>
      </w:r>
      <w:r w:rsidRPr="008B0672">
        <w:rPr>
          <w:sz w:val="20"/>
          <w:szCs w:val="20"/>
        </w:rPr>
        <w:t>ate:__________________</w:t>
      </w:r>
    </w:p>
    <w:p w14:paraId="3682488E" w14:textId="77777777" w:rsidR="000A0A55" w:rsidRPr="008B0672" w:rsidRDefault="000A0A55" w:rsidP="000A0A55">
      <w:pPr>
        <w:rPr>
          <w:sz w:val="20"/>
          <w:szCs w:val="20"/>
        </w:rPr>
      </w:pPr>
      <w:r w:rsidRPr="008B0672">
        <w:rPr>
          <w:sz w:val="20"/>
          <w:szCs w:val="20"/>
        </w:rPr>
        <w:t>Student:  _______________</w:t>
      </w:r>
      <w:r w:rsidRPr="008B0672">
        <w:rPr>
          <w:sz w:val="20"/>
          <w:szCs w:val="20"/>
        </w:rPr>
        <w:tab/>
      </w:r>
      <w:r w:rsidRPr="008B0672">
        <w:rPr>
          <w:sz w:val="20"/>
          <w:szCs w:val="20"/>
        </w:rPr>
        <w:tab/>
        <w:t>Topic:  __________________________________</w:t>
      </w:r>
      <w:r w:rsidRPr="008B0672">
        <w:rPr>
          <w:sz w:val="20"/>
          <w:szCs w:val="20"/>
        </w:rPr>
        <w:tab/>
      </w:r>
    </w:p>
    <w:p w14:paraId="3F263917" w14:textId="77777777" w:rsidR="000A0A55" w:rsidRPr="008B0672" w:rsidRDefault="000A0A55" w:rsidP="000A0A55">
      <w:pPr>
        <w:rPr>
          <w:sz w:val="16"/>
          <w:szCs w:val="16"/>
        </w:rPr>
      </w:pPr>
    </w:p>
    <w:p w14:paraId="38690877" w14:textId="77777777" w:rsidR="000A0A55" w:rsidRPr="008B0672" w:rsidRDefault="000A0A55" w:rsidP="000A0A55">
      <w:pPr>
        <w:rPr>
          <w:b/>
          <w:sz w:val="20"/>
          <w:szCs w:val="20"/>
        </w:rPr>
      </w:pPr>
      <w:r w:rsidRPr="008B0672">
        <w:rPr>
          <w:b/>
          <w:sz w:val="20"/>
          <w:szCs w:val="20"/>
        </w:rPr>
        <w:t>Critical Thinking</w:t>
      </w:r>
    </w:p>
    <w:p w14:paraId="3076804B" w14:textId="77777777" w:rsidR="000A0A55" w:rsidRPr="008B0672" w:rsidRDefault="000A0A55" w:rsidP="000A0A55">
      <w:pPr>
        <w:numPr>
          <w:ilvl w:val="0"/>
          <w:numId w:val="9"/>
        </w:numPr>
        <w:rPr>
          <w:sz w:val="20"/>
          <w:szCs w:val="20"/>
        </w:rPr>
      </w:pPr>
      <w:r w:rsidRPr="008B0672">
        <w:rPr>
          <w:sz w:val="20"/>
          <w:szCs w:val="20"/>
        </w:rPr>
        <w:t>The presentation demonstrated critical thinking about psychological research.</w:t>
      </w:r>
    </w:p>
    <w:p w14:paraId="4D248687"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0D49B540"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5FBB014F" w14:textId="77777777" w:rsidR="000A0A55" w:rsidRPr="008B0672" w:rsidRDefault="000A0A55" w:rsidP="000A0A55">
      <w:pPr>
        <w:ind w:left="360"/>
        <w:rPr>
          <w:sz w:val="8"/>
          <w:szCs w:val="8"/>
        </w:rPr>
      </w:pPr>
    </w:p>
    <w:p w14:paraId="242E2238" w14:textId="77777777" w:rsidR="000A0A55" w:rsidRPr="008B0672" w:rsidRDefault="000A0A55" w:rsidP="000A0A55">
      <w:pPr>
        <w:numPr>
          <w:ilvl w:val="0"/>
          <w:numId w:val="9"/>
        </w:numPr>
        <w:rPr>
          <w:sz w:val="20"/>
          <w:szCs w:val="20"/>
        </w:rPr>
      </w:pPr>
      <w:r w:rsidRPr="008B0672">
        <w:rPr>
          <w:sz w:val="20"/>
          <w:szCs w:val="20"/>
        </w:rPr>
        <w:t>The presentation demonstrated understanding of the interplay between psychological theory and research.</w:t>
      </w:r>
    </w:p>
    <w:p w14:paraId="18E3951D"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6DDC3A0C"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4ABC743" w14:textId="77777777" w:rsidR="000A0A55" w:rsidRPr="008B0672" w:rsidRDefault="000A0A55" w:rsidP="000A0A55">
      <w:pPr>
        <w:ind w:left="1440"/>
        <w:rPr>
          <w:sz w:val="8"/>
          <w:szCs w:val="8"/>
        </w:rPr>
      </w:pPr>
    </w:p>
    <w:p w14:paraId="3D081435" w14:textId="77777777" w:rsidR="000A0A55" w:rsidRPr="008B0672" w:rsidRDefault="000A0A55" w:rsidP="000A0A55">
      <w:pPr>
        <w:rPr>
          <w:b/>
          <w:sz w:val="20"/>
          <w:szCs w:val="20"/>
        </w:rPr>
      </w:pPr>
      <w:r w:rsidRPr="008B0672">
        <w:rPr>
          <w:b/>
          <w:sz w:val="20"/>
          <w:szCs w:val="20"/>
        </w:rPr>
        <w:t>Oral Communication</w:t>
      </w:r>
    </w:p>
    <w:p w14:paraId="79FBF7F0" w14:textId="77777777" w:rsidR="000A0A55" w:rsidRPr="008B0672" w:rsidRDefault="000A0A55" w:rsidP="000A0A55">
      <w:pPr>
        <w:numPr>
          <w:ilvl w:val="0"/>
          <w:numId w:val="9"/>
        </w:numPr>
        <w:rPr>
          <w:sz w:val="20"/>
          <w:szCs w:val="20"/>
        </w:rPr>
      </w:pPr>
      <w:r w:rsidRPr="008B0672">
        <w:rPr>
          <w:sz w:val="20"/>
          <w:szCs w:val="20"/>
        </w:rPr>
        <w:t>The presentation was well organized.</w:t>
      </w:r>
    </w:p>
    <w:p w14:paraId="5263A55A"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53CB4E94"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9925849" w14:textId="77777777" w:rsidR="000A0A55" w:rsidRPr="008B0672" w:rsidRDefault="000A0A55" w:rsidP="000A0A55">
      <w:pPr>
        <w:ind w:left="360"/>
        <w:rPr>
          <w:sz w:val="8"/>
          <w:szCs w:val="8"/>
        </w:rPr>
      </w:pPr>
    </w:p>
    <w:p w14:paraId="3E51BE2A" w14:textId="77777777" w:rsidR="000A0A55" w:rsidRPr="008B0672" w:rsidRDefault="000A0A55" w:rsidP="000A0A55">
      <w:pPr>
        <w:numPr>
          <w:ilvl w:val="0"/>
          <w:numId w:val="9"/>
        </w:numPr>
        <w:rPr>
          <w:sz w:val="20"/>
          <w:szCs w:val="20"/>
        </w:rPr>
      </w:pPr>
      <w:r w:rsidRPr="008B0672">
        <w:rPr>
          <w:sz w:val="20"/>
          <w:szCs w:val="20"/>
        </w:rPr>
        <w:t>Important points were clearly explained.</w:t>
      </w:r>
    </w:p>
    <w:p w14:paraId="60F91C56"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4FC0E93B"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6C05C0B" w14:textId="77777777" w:rsidR="000A0A55" w:rsidRPr="008B0672" w:rsidRDefault="000A0A55" w:rsidP="000A0A55">
      <w:pPr>
        <w:ind w:left="1440"/>
        <w:rPr>
          <w:sz w:val="8"/>
          <w:szCs w:val="8"/>
        </w:rPr>
      </w:pPr>
    </w:p>
    <w:p w14:paraId="0C97E326" w14:textId="77777777" w:rsidR="000A0A55" w:rsidRPr="008B0672" w:rsidRDefault="000A0A55" w:rsidP="000A0A55">
      <w:pPr>
        <w:numPr>
          <w:ilvl w:val="0"/>
          <w:numId w:val="9"/>
        </w:numPr>
        <w:rPr>
          <w:sz w:val="20"/>
          <w:szCs w:val="20"/>
        </w:rPr>
      </w:pPr>
      <w:r w:rsidRPr="008B0672">
        <w:rPr>
          <w:sz w:val="20"/>
          <w:szCs w:val="20"/>
        </w:rPr>
        <w:t>The style of the presentation was engaging.</w:t>
      </w:r>
    </w:p>
    <w:p w14:paraId="39F1D16B"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0CFBBA95"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031AF43" w14:textId="77777777" w:rsidR="000A0A55" w:rsidRPr="008B0672" w:rsidRDefault="000A0A55" w:rsidP="000A0A55">
      <w:pPr>
        <w:rPr>
          <w:sz w:val="8"/>
          <w:szCs w:val="8"/>
        </w:rPr>
      </w:pPr>
    </w:p>
    <w:p w14:paraId="7D1D5B9A" w14:textId="77777777" w:rsidR="000A0A55" w:rsidRPr="008B0672" w:rsidRDefault="000A0A55" w:rsidP="000A0A55">
      <w:pPr>
        <w:rPr>
          <w:b/>
          <w:sz w:val="20"/>
          <w:szCs w:val="20"/>
        </w:rPr>
      </w:pPr>
      <w:r w:rsidRPr="008B0672">
        <w:rPr>
          <w:b/>
          <w:sz w:val="20"/>
          <w:szCs w:val="20"/>
        </w:rPr>
        <w:t>Values &amp; Ethics</w:t>
      </w:r>
    </w:p>
    <w:p w14:paraId="6A5020F9" w14:textId="77777777" w:rsidR="000A0A55" w:rsidRPr="008B0672" w:rsidRDefault="000A0A55" w:rsidP="000A0A55">
      <w:pPr>
        <w:numPr>
          <w:ilvl w:val="0"/>
          <w:numId w:val="9"/>
        </w:numPr>
        <w:rPr>
          <w:sz w:val="20"/>
          <w:szCs w:val="20"/>
        </w:rPr>
      </w:pPr>
      <w:r w:rsidRPr="008B0672">
        <w:rPr>
          <w:sz w:val="20"/>
          <w:szCs w:val="20"/>
        </w:rPr>
        <w:t>The presentation reflects an understanding of the values and ethics of psychologists.</w:t>
      </w:r>
    </w:p>
    <w:p w14:paraId="1F0DDE61"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t xml:space="preserve">   Not Applicable</w:t>
      </w:r>
    </w:p>
    <w:p w14:paraId="7218F49F"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426D593E" w14:textId="77777777" w:rsidR="000A0A55" w:rsidRPr="008B0672" w:rsidRDefault="000A0A55" w:rsidP="000A0A55">
      <w:pPr>
        <w:ind w:left="1440"/>
        <w:rPr>
          <w:sz w:val="8"/>
          <w:szCs w:val="8"/>
        </w:rPr>
      </w:pPr>
    </w:p>
    <w:p w14:paraId="7805857F" w14:textId="77777777" w:rsidR="000A0A55" w:rsidRPr="008B0672" w:rsidRDefault="000A0A55" w:rsidP="000A0A55">
      <w:pPr>
        <w:rPr>
          <w:b/>
          <w:sz w:val="20"/>
          <w:szCs w:val="20"/>
        </w:rPr>
      </w:pPr>
      <w:r w:rsidRPr="008B0672">
        <w:rPr>
          <w:b/>
          <w:sz w:val="20"/>
          <w:szCs w:val="20"/>
        </w:rPr>
        <w:t>Methodology &amp; Research</w:t>
      </w:r>
    </w:p>
    <w:p w14:paraId="06DF6183" w14:textId="77777777" w:rsidR="000A0A55" w:rsidRPr="008B0672" w:rsidRDefault="000A0A55" w:rsidP="000A0A55">
      <w:pPr>
        <w:numPr>
          <w:ilvl w:val="0"/>
          <w:numId w:val="9"/>
        </w:numPr>
        <w:rPr>
          <w:sz w:val="20"/>
          <w:szCs w:val="20"/>
        </w:rPr>
      </w:pPr>
      <w:r w:rsidRPr="008B0672">
        <w:rPr>
          <w:sz w:val="20"/>
          <w:szCs w:val="20"/>
        </w:rPr>
        <w:t xml:space="preserve">Presented research evidence was relevant and accurate. </w:t>
      </w:r>
    </w:p>
    <w:p w14:paraId="42AC822E"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6F0B0343" w14:textId="77777777" w:rsidR="000A0A55"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79226FE6" w14:textId="77777777" w:rsidR="008B0672" w:rsidRPr="008B0672" w:rsidRDefault="008B0672" w:rsidP="000A0A55">
      <w:pPr>
        <w:rPr>
          <w:sz w:val="8"/>
          <w:szCs w:val="8"/>
        </w:rPr>
      </w:pPr>
    </w:p>
    <w:p w14:paraId="14891867" w14:textId="77777777" w:rsidR="000A0A55" w:rsidRPr="008B0672" w:rsidRDefault="000A0A55" w:rsidP="000A0A55">
      <w:pPr>
        <w:numPr>
          <w:ilvl w:val="0"/>
          <w:numId w:val="9"/>
        </w:numPr>
        <w:rPr>
          <w:sz w:val="20"/>
          <w:szCs w:val="20"/>
        </w:rPr>
      </w:pPr>
      <w:r w:rsidRPr="008B0672">
        <w:rPr>
          <w:sz w:val="20"/>
          <w:szCs w:val="20"/>
        </w:rPr>
        <w:t>If an empirical project, the student clearly communicated the methodology.</w:t>
      </w:r>
    </w:p>
    <w:p w14:paraId="6A79F305"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636CEB38"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6488AC77" w14:textId="77777777" w:rsidR="000A0A55" w:rsidRPr="008B0672" w:rsidRDefault="000A0A55" w:rsidP="000A0A55">
      <w:pPr>
        <w:ind w:left="1440"/>
        <w:rPr>
          <w:sz w:val="8"/>
          <w:szCs w:val="8"/>
        </w:rPr>
      </w:pPr>
    </w:p>
    <w:p w14:paraId="6A4D4B5C" w14:textId="77777777" w:rsidR="000A0A55" w:rsidRPr="008B0672" w:rsidRDefault="000A0A55" w:rsidP="000A0A55">
      <w:pPr>
        <w:numPr>
          <w:ilvl w:val="0"/>
          <w:numId w:val="9"/>
        </w:numPr>
        <w:rPr>
          <w:sz w:val="20"/>
          <w:szCs w:val="20"/>
        </w:rPr>
      </w:pPr>
      <w:r w:rsidRPr="008B0672">
        <w:rPr>
          <w:sz w:val="20"/>
          <w:szCs w:val="20"/>
        </w:rPr>
        <w:t>If an empirical project, the student highlighted and explained key findings.</w:t>
      </w:r>
    </w:p>
    <w:p w14:paraId="32510B79"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6A31EEE1"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18A62A59" w14:textId="77777777" w:rsidR="000A0A55" w:rsidRPr="008B0672" w:rsidRDefault="000A0A55" w:rsidP="000A0A55">
      <w:pPr>
        <w:ind w:left="360"/>
        <w:rPr>
          <w:sz w:val="8"/>
          <w:szCs w:val="8"/>
        </w:rPr>
      </w:pPr>
    </w:p>
    <w:p w14:paraId="39B34E6E" w14:textId="77777777" w:rsidR="000A0A55" w:rsidRPr="008B0672" w:rsidRDefault="000A0A55" w:rsidP="000A0A55">
      <w:pPr>
        <w:rPr>
          <w:b/>
          <w:sz w:val="20"/>
          <w:szCs w:val="20"/>
        </w:rPr>
      </w:pPr>
      <w:r w:rsidRPr="008B0672">
        <w:rPr>
          <w:b/>
          <w:sz w:val="20"/>
          <w:szCs w:val="20"/>
        </w:rPr>
        <w:t>Diversity</w:t>
      </w:r>
    </w:p>
    <w:p w14:paraId="2ED4B159" w14:textId="77777777" w:rsidR="000A0A55" w:rsidRPr="008B0672" w:rsidRDefault="000A0A55" w:rsidP="000A0A55">
      <w:pPr>
        <w:numPr>
          <w:ilvl w:val="0"/>
          <w:numId w:val="9"/>
        </w:numPr>
        <w:rPr>
          <w:sz w:val="20"/>
          <w:szCs w:val="20"/>
        </w:rPr>
      </w:pPr>
      <w:r w:rsidRPr="008B0672">
        <w:rPr>
          <w:sz w:val="20"/>
          <w:szCs w:val="20"/>
        </w:rPr>
        <w:t>The presentation reflected understanding of the diversity issues relevant to the student’s topic.</w:t>
      </w:r>
    </w:p>
    <w:p w14:paraId="30A45F93"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2CF365BE" w14:textId="77777777" w:rsidR="000A0A55" w:rsidRPr="008B0672" w:rsidRDefault="000A0A55" w:rsidP="000A0A55">
      <w:pPr>
        <w:rPr>
          <w:sz w:val="20"/>
          <w:szCs w:val="20"/>
        </w:rPr>
      </w:pPr>
      <w:r w:rsidRPr="008B0672">
        <w:rPr>
          <w:sz w:val="20"/>
          <w:szCs w:val="20"/>
        </w:rPr>
        <w:tab/>
        <w:t xml:space="preserve">     very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6796DE13" w14:textId="77777777" w:rsidR="008B0672" w:rsidRPr="008B0672" w:rsidRDefault="008B0672" w:rsidP="000A0A55">
      <w:pPr>
        <w:rPr>
          <w:sz w:val="18"/>
          <w:szCs w:val="18"/>
        </w:rPr>
      </w:pPr>
    </w:p>
    <w:p w14:paraId="1092ED9D" w14:textId="77777777" w:rsidR="000A0A55" w:rsidRDefault="000A0A55" w:rsidP="000A0A55">
      <w:pPr>
        <w:rPr>
          <w:sz w:val="18"/>
          <w:szCs w:val="18"/>
        </w:rPr>
      </w:pPr>
    </w:p>
    <w:p w14:paraId="24D70B9D" w14:textId="77777777" w:rsidR="003A727A" w:rsidRDefault="003A727A" w:rsidP="000A0A55">
      <w:pPr>
        <w:rPr>
          <w:sz w:val="18"/>
          <w:szCs w:val="18"/>
        </w:rPr>
      </w:pPr>
    </w:p>
    <w:p w14:paraId="68E55DA0" w14:textId="77777777" w:rsidR="003A727A" w:rsidRDefault="003A727A" w:rsidP="000A0A55">
      <w:pPr>
        <w:rPr>
          <w:sz w:val="18"/>
          <w:szCs w:val="18"/>
        </w:rPr>
      </w:pPr>
    </w:p>
    <w:p w14:paraId="4245A9ED" w14:textId="77777777" w:rsidR="003A727A" w:rsidRDefault="003A727A" w:rsidP="000A0A55">
      <w:pPr>
        <w:rPr>
          <w:sz w:val="18"/>
          <w:szCs w:val="18"/>
        </w:rPr>
      </w:pPr>
    </w:p>
    <w:p w14:paraId="0594CB08" w14:textId="77777777" w:rsidR="003A727A" w:rsidRDefault="003A727A" w:rsidP="000A0A55">
      <w:pPr>
        <w:rPr>
          <w:sz w:val="18"/>
          <w:szCs w:val="18"/>
        </w:rPr>
      </w:pPr>
    </w:p>
    <w:p w14:paraId="383DB4E5" w14:textId="32517781" w:rsidR="003A727A" w:rsidRDefault="003A727A">
      <w:pPr>
        <w:spacing w:after="200" w:line="276" w:lineRule="auto"/>
        <w:rPr>
          <w:sz w:val="18"/>
          <w:szCs w:val="18"/>
        </w:rPr>
      </w:pPr>
      <w:r>
        <w:rPr>
          <w:sz w:val="18"/>
          <w:szCs w:val="18"/>
        </w:rPr>
        <w:br w:type="page"/>
      </w:r>
    </w:p>
    <w:p w14:paraId="7A62602F" w14:textId="77777777" w:rsidR="003A727A" w:rsidRPr="008B0672" w:rsidRDefault="003A727A" w:rsidP="000A0A55">
      <w:pPr>
        <w:rPr>
          <w:sz w:val="18"/>
          <w:szCs w:val="18"/>
        </w:rPr>
      </w:pPr>
    </w:p>
    <w:p w14:paraId="62F29D6B" w14:textId="2199F50C" w:rsidR="000A0A55" w:rsidRDefault="000A0A55" w:rsidP="000A0A55">
      <w:r>
        <w:t xml:space="preserve">Appendix </w:t>
      </w:r>
      <w:r w:rsidR="008B0672">
        <w:t>B</w:t>
      </w:r>
      <w:r>
        <w:t xml:space="preserve">. ‘LEAP’ Oral communication rubric. </w:t>
      </w:r>
    </w:p>
    <w:p w14:paraId="108E0FAE" w14:textId="77777777" w:rsidR="000A0A55" w:rsidRDefault="000A0A55" w:rsidP="000A0A55"/>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0A0A55" w14:paraId="0D5BC968" w14:textId="77777777" w:rsidTr="00435328">
        <w:trPr>
          <w:trHeight w:val="311"/>
        </w:trPr>
        <w:tc>
          <w:tcPr>
            <w:tcW w:w="16704" w:type="dxa"/>
            <w:tcMar>
              <w:top w:w="0" w:type="dxa"/>
              <w:left w:w="0" w:type="dxa"/>
              <w:bottom w:w="0" w:type="dxa"/>
              <w:right w:w="0" w:type="dxa"/>
            </w:tcMar>
          </w:tcPr>
          <w:p w14:paraId="34FC38B7" w14:textId="77777777" w:rsidR="000A0A55" w:rsidRDefault="000A0A55" w:rsidP="00435328">
            <w:pPr>
              <w:pStyle w:val="Standard"/>
              <w:snapToGrid w:val="0"/>
              <w:jc w:val="center"/>
              <w:rPr>
                <w:rFonts w:ascii="Garamond" w:hAnsi="Garamond"/>
                <w:b/>
                <w:smallCaps/>
                <w:color w:val="000000"/>
                <w:sz w:val="40"/>
                <w:szCs w:val="40"/>
              </w:rPr>
            </w:pPr>
            <w:r>
              <w:rPr>
                <w:rFonts w:ascii="Garamond" w:hAnsi="Garamond"/>
                <w:b/>
                <w:smallCaps/>
                <w:color w:val="000000"/>
                <w:sz w:val="40"/>
                <w:szCs w:val="40"/>
              </w:rPr>
              <w:t>Oral Communication VALUE Rubric</w:t>
            </w:r>
          </w:p>
          <w:p w14:paraId="4B18884A" w14:textId="77777777" w:rsidR="000A0A55" w:rsidRPr="00810821" w:rsidRDefault="000A0A55" w:rsidP="00435328">
            <w:pPr>
              <w:pStyle w:val="Standard"/>
              <w:snapToGrid w:val="0"/>
              <w:jc w:val="center"/>
              <w:rPr>
                <w:rFonts w:ascii="Garamond" w:hAnsi="Garamond"/>
                <w:b/>
                <w:smallCaps/>
                <w:color w:val="000000"/>
                <w:sz w:val="40"/>
                <w:szCs w:val="40"/>
              </w:rPr>
            </w:pPr>
            <w:r>
              <w:rPr>
                <w:rFonts w:ascii="Garamond" w:eastAsia="Helvetica" w:hAnsi="Garamond" w:cs="Helvetica"/>
                <w:i/>
                <w:lang w:val="en-US"/>
              </w:rPr>
              <w:t>f</w:t>
            </w:r>
            <w:r>
              <w:rPr>
                <w:rFonts w:ascii="Garamond" w:eastAsia="Helvetica" w:hAnsi="Garamond" w:cs="Helvetica"/>
                <w:i/>
              </w:rPr>
              <w:t>or more information</w:t>
            </w:r>
            <w:r>
              <w:rPr>
                <w:rFonts w:ascii="Garamond" w:eastAsia="Helvetica" w:hAnsi="Garamond" w:cs="Helvetica"/>
                <w:i/>
                <w:lang w:val="en-US"/>
              </w:rPr>
              <w:t xml:space="preserve">, </w:t>
            </w:r>
            <w:r>
              <w:rPr>
                <w:rFonts w:ascii="Garamond" w:eastAsia="Helvetica" w:hAnsi="Garamond" w:cs="Helvetica"/>
                <w:i/>
              </w:rPr>
              <w:t xml:space="preserve">please </w:t>
            </w:r>
            <w:r>
              <w:rPr>
                <w:rFonts w:ascii="Garamond" w:eastAsia="Helvetica" w:hAnsi="Garamond" w:cs="Helvetica"/>
                <w:i/>
                <w:lang w:val="en-US"/>
              </w:rPr>
              <w:t>contact value</w:t>
            </w:r>
            <w:r>
              <w:rPr>
                <w:rFonts w:ascii="Garamond" w:eastAsia="Helvetica" w:hAnsi="Garamond" w:cs="Helvetica"/>
                <w:i/>
              </w:rPr>
              <w:t>@</w:t>
            </w:r>
            <w:r>
              <w:rPr>
                <w:rFonts w:ascii="Garamond" w:eastAsia="Helvetica" w:hAnsi="Garamond" w:cs="Helvetica"/>
                <w:i/>
                <w:lang w:val="en-US"/>
              </w:rPr>
              <w:t>aacu.org</w:t>
            </w:r>
          </w:p>
        </w:tc>
        <w:tc>
          <w:tcPr>
            <w:tcW w:w="1882" w:type="dxa"/>
            <w:tcMar>
              <w:top w:w="0" w:type="dxa"/>
              <w:left w:w="0" w:type="dxa"/>
              <w:bottom w:w="0" w:type="dxa"/>
              <w:right w:w="0" w:type="dxa"/>
            </w:tcMar>
          </w:tcPr>
          <w:p w14:paraId="0731677D" w14:textId="77777777" w:rsidR="000A0A55" w:rsidRDefault="000A0A55"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0"/>
                <w:szCs w:val="20"/>
              </w:rPr>
            </w:pPr>
            <w:r>
              <w:rPr>
                <w:rFonts w:ascii="Garamond" w:hAnsi="Garamond"/>
                <w:noProof/>
                <w:sz w:val="20"/>
                <w:szCs w:val="20"/>
                <w:lang w:val="en-US"/>
              </w:rPr>
              <w:drawing>
                <wp:inline distT="0" distB="0" distL="0" distR="0" wp14:anchorId="2D0681D3" wp14:editId="6DAF459B">
                  <wp:extent cx="1143000" cy="596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96900"/>
                          </a:xfrm>
                          <a:prstGeom prst="rect">
                            <a:avLst/>
                          </a:prstGeom>
                          <a:solidFill>
                            <a:srgbClr val="FFFFFF"/>
                          </a:solidFill>
                          <a:ln>
                            <a:noFill/>
                          </a:ln>
                        </pic:spPr>
                      </pic:pic>
                    </a:graphicData>
                  </a:graphic>
                </wp:inline>
              </w:drawing>
            </w:r>
          </w:p>
        </w:tc>
      </w:tr>
    </w:tbl>
    <w:p w14:paraId="154A4797" w14:textId="77777777" w:rsidR="000A0A55" w:rsidRDefault="000A0A55" w:rsidP="000A0A55">
      <w:pPr>
        <w:pStyle w:val="Standard"/>
        <w:rPr>
          <w:rFonts w:ascii="Garamond" w:hAnsi="Garamond"/>
        </w:rPr>
      </w:pPr>
    </w:p>
    <w:p w14:paraId="5DA93728" w14:textId="77777777" w:rsidR="000A0A55" w:rsidRDefault="000A0A55" w:rsidP="000A0A55">
      <w:pPr>
        <w:pStyle w:val="Standard"/>
        <w:rPr>
          <w:rFonts w:ascii="Garamond" w:hAnsi="Garamond"/>
        </w:rPr>
      </w:pPr>
      <w:r>
        <w:rPr>
          <w:rFonts w:ascii="Garamond" w:hAnsi="Garamond"/>
        </w:rPr>
        <w:tab/>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3FB5E86D" w14:textId="77777777" w:rsidR="000A0A55" w:rsidRDefault="000A0A55" w:rsidP="000A0A55">
      <w:pPr>
        <w:pStyle w:val="Standard"/>
      </w:pPr>
      <w:r>
        <w:rPr>
          <w:rFonts w:ascii="Garamond" w:hAnsi="Garamond"/>
          <w:i/>
          <w:iCs/>
        </w:rPr>
        <w:tab/>
        <w:t>The type of oral communication most likely to be included in a collection of student work is an oral presentation and therefore is the focus for the application of this rubric.</w:t>
      </w:r>
    </w:p>
    <w:p w14:paraId="40A270D8" w14:textId="77777777" w:rsidR="000A0A55" w:rsidRDefault="000A0A55" w:rsidP="000A0A55">
      <w:pPr>
        <w:pStyle w:val="Standard"/>
        <w:rPr>
          <w:rFonts w:ascii="Garamond" w:hAnsi="Garamond"/>
          <w:i/>
          <w:iCs/>
        </w:rPr>
      </w:pPr>
    </w:p>
    <w:p w14:paraId="32CFE0BE" w14:textId="77777777" w:rsidR="000A0A55" w:rsidRDefault="000A0A55" w:rsidP="000A0A55">
      <w:pPr>
        <w:pStyle w:val="Standard"/>
        <w:jc w:val="center"/>
        <w:rPr>
          <w:rFonts w:ascii="Garamond" w:hAnsi="Garamond"/>
          <w:b/>
          <w:bCs/>
        </w:rPr>
      </w:pPr>
      <w:r>
        <w:rPr>
          <w:rFonts w:ascii="Garamond" w:hAnsi="Garamond"/>
          <w:b/>
          <w:bCs/>
        </w:rPr>
        <w:t>Definition</w:t>
      </w:r>
    </w:p>
    <w:p w14:paraId="6BED9D6E" w14:textId="77777777" w:rsidR="000A0A55" w:rsidRDefault="000A0A55" w:rsidP="000A0A55">
      <w:pPr>
        <w:pStyle w:val="Standard"/>
        <w:rPr>
          <w:rFonts w:ascii="Garamond" w:hAnsi="Garamond"/>
        </w:rPr>
      </w:pPr>
      <w:r>
        <w:rPr>
          <w:rFonts w:ascii="Garamond" w:hAnsi="Garamond"/>
        </w:rPr>
        <w:tab/>
        <w:t>Oral communication is a prepared, purposeful presentation designed to increase knowledge, to foster understanding, or to promote change in the listeners' attitudes, values, beliefs, or behaviors.</w:t>
      </w:r>
    </w:p>
    <w:p w14:paraId="15BD7EF2" w14:textId="77777777" w:rsidR="000A0A55" w:rsidRDefault="000A0A55" w:rsidP="000A0A55">
      <w:pPr>
        <w:pStyle w:val="Standard"/>
        <w:rPr>
          <w:rFonts w:ascii="Garamond" w:hAnsi="Garamond"/>
        </w:rPr>
      </w:pPr>
    </w:p>
    <w:p w14:paraId="21BBD8AA" w14:textId="77777777" w:rsidR="000A0A55" w:rsidRDefault="000A0A55" w:rsidP="000A0A55">
      <w:pPr>
        <w:pStyle w:val="Standard"/>
        <w:jc w:val="center"/>
        <w:rPr>
          <w:rFonts w:ascii="Garamond" w:hAnsi="Garamond"/>
          <w:b/>
          <w:bCs/>
        </w:rPr>
      </w:pPr>
      <w:r>
        <w:rPr>
          <w:rFonts w:ascii="Garamond" w:hAnsi="Garamond"/>
          <w:b/>
          <w:bCs/>
        </w:rPr>
        <w:t>Framing Language</w:t>
      </w:r>
    </w:p>
    <w:p w14:paraId="3E73C7ED" w14:textId="77777777" w:rsidR="000A0A55" w:rsidRDefault="000A0A55" w:rsidP="000A0A55">
      <w:pPr>
        <w:pStyle w:val="Standard"/>
        <w:rPr>
          <w:rFonts w:ascii="Garamond" w:hAnsi="Garamond"/>
        </w:rPr>
      </w:pPr>
      <w:r>
        <w:rPr>
          <w:rFonts w:ascii="Garamond" w:hAnsi="Garamond"/>
        </w:rPr>
        <w:tab/>
        <w:t>Oral communication takes many forms.  This rubric is specifically designed to evaluate oral presentations of a single speaker at a time and is best applied to live or video-recorded presentations.  For panel presentations or group presentations, it is recommended that each speaker be evaluated separately.  This rubric best applies to presentations of sufficient length such that a central message is conveyed, supported by one or more forms of supporting materials and includes a purposeful organization. An oral answer to a single question not designed to be structured into a presentation does not readily apply to this rubric.</w:t>
      </w:r>
    </w:p>
    <w:p w14:paraId="7AC9A496" w14:textId="77777777" w:rsidR="000A0A55" w:rsidRDefault="000A0A55" w:rsidP="000A0A55">
      <w:pPr>
        <w:pStyle w:val="Standard"/>
        <w:jc w:val="center"/>
        <w:rPr>
          <w:rFonts w:ascii="Garamond" w:hAnsi="Garamond"/>
          <w:b/>
          <w:bCs/>
        </w:rPr>
      </w:pPr>
      <w:r>
        <w:rPr>
          <w:rFonts w:ascii="Garamond" w:hAnsi="Garamond"/>
          <w:b/>
          <w:bCs/>
        </w:rPr>
        <w:t>Glossary</w:t>
      </w:r>
    </w:p>
    <w:p w14:paraId="24BC185D" w14:textId="77777777" w:rsidR="000A0A55" w:rsidRDefault="000A0A55" w:rsidP="000A0A55">
      <w:pPr>
        <w:pStyle w:val="Standard"/>
        <w:jc w:val="center"/>
        <w:rPr>
          <w:rFonts w:ascii="Garamond" w:hAnsi="Garamond"/>
          <w:i/>
          <w:iCs/>
        </w:rPr>
      </w:pPr>
      <w:r>
        <w:rPr>
          <w:rFonts w:ascii="Garamond" w:hAnsi="Garamond"/>
          <w:i/>
          <w:iCs/>
        </w:rPr>
        <w:t>The definitions that follow were developed to clarify terms and concepts used in this rubric only.</w:t>
      </w:r>
    </w:p>
    <w:p w14:paraId="5EFF63A7" w14:textId="77777777" w:rsidR="000A0A55" w:rsidRDefault="000A0A55" w:rsidP="000A0A55">
      <w:pPr>
        <w:pStyle w:val="Standard"/>
        <w:numPr>
          <w:ilvl w:val="0"/>
          <w:numId w:val="10"/>
        </w:numPr>
        <w:rPr>
          <w:rFonts w:ascii="Garamond" w:hAnsi="Garamond"/>
        </w:rPr>
      </w:pPr>
      <w:r>
        <w:rPr>
          <w:rFonts w:ascii="Garamond" w:hAnsi="Garamond"/>
        </w:rPr>
        <w:t>Central message:  The main point/thesis/"bottom line"/"take-away" of a presentation.  A clear central message is easy to identify; a compelling central message is also vivid and memorable.</w:t>
      </w:r>
    </w:p>
    <w:p w14:paraId="069EDC88" w14:textId="77777777" w:rsidR="000A0A55" w:rsidRDefault="000A0A55" w:rsidP="000A0A55">
      <w:pPr>
        <w:pStyle w:val="Standard"/>
        <w:numPr>
          <w:ilvl w:val="0"/>
          <w:numId w:val="10"/>
        </w:numPr>
        <w:rPr>
          <w:rFonts w:ascii="Garamond" w:hAnsi="Garamond"/>
        </w:rPr>
      </w:pPr>
      <w:r>
        <w:rPr>
          <w:rFonts w:ascii="Garamond" w:hAnsi="Garamond"/>
        </w:rPr>
        <w:t>Delivery techniques: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14:paraId="177EFF3D" w14:textId="77777777" w:rsidR="000A0A55" w:rsidRDefault="000A0A55" w:rsidP="000A0A55">
      <w:pPr>
        <w:pStyle w:val="Standard"/>
        <w:numPr>
          <w:ilvl w:val="0"/>
          <w:numId w:val="10"/>
        </w:numPr>
        <w:rPr>
          <w:rFonts w:ascii="Garamond" w:hAnsi="Garamond"/>
        </w:rPr>
      </w:pPr>
      <w:r>
        <w:rPr>
          <w:rFonts w:ascii="Garamond" w:hAnsi="Garamond"/>
        </w:rPr>
        <w:t>Language:  Vocabulary, terminology, and sentence structure. Language that supports the effectiveness of a presentation is appropriate to the topic and audience, grammatical, clear, and free from bias. Language that enhances the effectiveness of a presentation is also vivid, imaginative, and expressive.</w:t>
      </w:r>
    </w:p>
    <w:p w14:paraId="7E12729D" w14:textId="77777777" w:rsidR="000A0A55" w:rsidRDefault="000A0A55" w:rsidP="000A0A55">
      <w:pPr>
        <w:pStyle w:val="Standard"/>
        <w:numPr>
          <w:ilvl w:val="0"/>
          <w:numId w:val="11"/>
        </w:numPr>
        <w:rPr>
          <w:rFonts w:ascii="Garamond" w:hAnsi="Garamond"/>
        </w:rPr>
      </w:pPr>
      <w:r>
        <w:rPr>
          <w:rFonts w:ascii="Garamond" w:hAnsi="Garamond"/>
        </w:rPr>
        <w:t>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such as a chronological pattern, a problem-solution pattern, an analysis-of-parts pattern, etc., that makes the content of the presentation easier to follow and more likely to accomplish its purpose.</w:t>
      </w:r>
    </w:p>
    <w:p w14:paraId="24C3FEBA" w14:textId="77777777" w:rsidR="000A0A55" w:rsidRDefault="000A0A55" w:rsidP="000A0A55">
      <w:pPr>
        <w:pStyle w:val="Standard"/>
        <w:numPr>
          <w:ilvl w:val="0"/>
          <w:numId w:val="10"/>
        </w:numPr>
        <w:rPr>
          <w:rFonts w:ascii="Garamond" w:hAnsi="Garamond"/>
        </w:rPr>
      </w:pPr>
      <w:r>
        <w:rPr>
          <w:rFonts w:ascii="Garamond" w:hAnsi="Garamond"/>
        </w:rPr>
        <w:t>Supporting material:  Explanations, examples, illustrations, statistics, analogies,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Supporting material may also serve the purpose of establishing the speakers credibility.  For example, in presenting a creative work such as a dramatic reading of Shakespeare, supporting evidence may not advance the ideas of Shakespeare, but rather serve to establish the speaker as a credible Shakespearean actor.</w:t>
      </w:r>
    </w:p>
    <w:p w14:paraId="0E0FEBA2" w14:textId="77777777" w:rsidR="000A0A55" w:rsidRDefault="000A0A55" w:rsidP="000A0A55">
      <w:pPr>
        <w:pStyle w:val="Standard"/>
        <w:rPr>
          <w:rFonts w:ascii="Garamond" w:hAnsi="Garamond"/>
        </w:rPr>
        <w:sectPr w:rsidR="000A0A55" w:rsidSect="003A727A">
          <w:headerReference w:type="even" r:id="rId8"/>
          <w:headerReference w:type="default" r:id="rId9"/>
          <w:headerReference w:type="first" r:id="rId10"/>
          <w:pgSz w:w="12240" w:h="20163"/>
          <w:pgMar w:top="720" w:right="720" w:bottom="720" w:left="720" w:header="720" w:footer="720" w:gutter="0"/>
          <w:cols w:space="720"/>
          <w:titlePg/>
          <w:docGrid w:linePitch="326"/>
        </w:sect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0A0A55" w14:paraId="2EE8F902" w14:textId="77777777" w:rsidTr="00435328">
        <w:trPr>
          <w:trHeight w:val="311"/>
        </w:trPr>
        <w:tc>
          <w:tcPr>
            <w:tcW w:w="16704" w:type="dxa"/>
            <w:tcMar>
              <w:top w:w="0" w:type="dxa"/>
              <w:left w:w="0" w:type="dxa"/>
              <w:bottom w:w="0" w:type="dxa"/>
              <w:right w:w="0" w:type="dxa"/>
            </w:tcMar>
          </w:tcPr>
          <w:p w14:paraId="13CF52F6" w14:textId="77777777" w:rsidR="000A0A55" w:rsidRDefault="000A0A55" w:rsidP="00435328">
            <w:pPr>
              <w:pStyle w:val="Standard"/>
              <w:snapToGrid w:val="0"/>
              <w:jc w:val="center"/>
              <w:rPr>
                <w:rFonts w:ascii="Garamond" w:hAnsi="Garamond"/>
                <w:sz w:val="40"/>
                <w:szCs w:val="40"/>
              </w:rPr>
            </w:pPr>
            <w:r>
              <w:rPr>
                <w:rFonts w:ascii="Garamond" w:hAnsi="Garamond"/>
                <w:b/>
                <w:smallCaps/>
                <w:color w:val="000000"/>
                <w:sz w:val="40"/>
                <w:szCs w:val="40"/>
                <w:lang w:val="en-US"/>
              </w:rPr>
              <w:lastRenderedPageBreak/>
              <w:t xml:space="preserve">Oral Communication </w:t>
            </w:r>
            <w:r>
              <w:rPr>
                <w:rFonts w:ascii="Garamond" w:hAnsi="Garamond"/>
                <w:b/>
                <w:smallCaps/>
                <w:color w:val="000000"/>
                <w:sz w:val="40"/>
                <w:szCs w:val="40"/>
              </w:rPr>
              <w:t>VALUE Rubric</w:t>
            </w:r>
          </w:p>
          <w:p w14:paraId="13AE682F" w14:textId="77777777" w:rsidR="000A0A55" w:rsidRDefault="000A0A55" w:rsidP="00435328">
            <w:pPr>
              <w:pStyle w:val="Standard"/>
              <w:snapToGrid w:val="0"/>
              <w:jc w:val="center"/>
              <w:rPr>
                <w:rFonts w:ascii="Garamond" w:hAnsi="Garamond"/>
                <w:sz w:val="22"/>
                <w:szCs w:val="22"/>
              </w:rPr>
            </w:pPr>
            <w:r>
              <w:rPr>
                <w:rFonts w:ascii="Garamond" w:eastAsia="Helvetica" w:hAnsi="Garamond" w:cs="Helvetica"/>
                <w:i/>
                <w:sz w:val="22"/>
                <w:szCs w:val="22"/>
                <w:lang w:val="en-US"/>
              </w:rPr>
              <w:t>f</w:t>
            </w:r>
            <w:r>
              <w:rPr>
                <w:rFonts w:ascii="Garamond" w:eastAsia="Helvetica" w:hAnsi="Garamond" w:cs="Helvetica"/>
                <w:i/>
                <w:sz w:val="22"/>
                <w:szCs w:val="22"/>
              </w:rPr>
              <w:t>or more information</w:t>
            </w:r>
            <w:r>
              <w:rPr>
                <w:rFonts w:ascii="Garamond" w:eastAsia="Helvetica" w:hAnsi="Garamond" w:cs="Helvetica"/>
                <w:i/>
                <w:sz w:val="22"/>
                <w:szCs w:val="22"/>
                <w:lang w:val="en-US"/>
              </w:rPr>
              <w:t xml:space="preserve">, </w:t>
            </w:r>
            <w:r>
              <w:rPr>
                <w:rFonts w:ascii="Garamond" w:eastAsia="Helvetica" w:hAnsi="Garamond" w:cs="Helvetica"/>
                <w:i/>
                <w:sz w:val="22"/>
                <w:szCs w:val="22"/>
              </w:rPr>
              <w:t xml:space="preserve">please </w:t>
            </w:r>
            <w:r>
              <w:rPr>
                <w:rFonts w:ascii="Garamond" w:eastAsia="Helvetica" w:hAnsi="Garamond" w:cs="Helvetica"/>
                <w:i/>
                <w:sz w:val="22"/>
                <w:szCs w:val="22"/>
                <w:lang w:val="en-US"/>
              </w:rPr>
              <w:t>contact value</w:t>
            </w:r>
            <w:r>
              <w:rPr>
                <w:rFonts w:ascii="Garamond" w:eastAsia="Helvetica" w:hAnsi="Garamond" w:cs="Helvetica"/>
                <w:i/>
                <w:sz w:val="22"/>
                <w:szCs w:val="22"/>
              </w:rPr>
              <w:t>@</w:t>
            </w:r>
            <w:r>
              <w:rPr>
                <w:rFonts w:ascii="Garamond" w:eastAsia="Helvetica" w:hAnsi="Garamond" w:cs="Helvetica"/>
                <w:i/>
                <w:sz w:val="22"/>
                <w:szCs w:val="22"/>
                <w:lang w:val="en-US"/>
              </w:rPr>
              <w:t>aacu.org</w:t>
            </w:r>
          </w:p>
        </w:tc>
        <w:tc>
          <w:tcPr>
            <w:tcW w:w="1882" w:type="dxa"/>
            <w:tcMar>
              <w:top w:w="0" w:type="dxa"/>
              <w:left w:w="0" w:type="dxa"/>
              <w:bottom w:w="0" w:type="dxa"/>
              <w:right w:w="0" w:type="dxa"/>
            </w:tcMar>
          </w:tcPr>
          <w:p w14:paraId="24DF8B1F" w14:textId="77777777" w:rsidR="000A0A55" w:rsidRDefault="000A0A55"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r>
              <w:rPr>
                <w:rFonts w:ascii="Garamond" w:hAnsi="Garamond"/>
                <w:noProof/>
                <w:sz w:val="22"/>
                <w:szCs w:val="22"/>
                <w:lang w:val="en-US"/>
              </w:rPr>
              <w:drawing>
                <wp:inline distT="0" distB="0" distL="0" distR="0" wp14:anchorId="780E2FDC" wp14:editId="534F0222">
                  <wp:extent cx="11430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96900"/>
                          </a:xfrm>
                          <a:prstGeom prst="rect">
                            <a:avLst/>
                          </a:prstGeom>
                          <a:solidFill>
                            <a:srgbClr val="FFFFFF"/>
                          </a:solidFill>
                          <a:ln>
                            <a:noFill/>
                          </a:ln>
                        </pic:spPr>
                      </pic:pic>
                    </a:graphicData>
                  </a:graphic>
                </wp:inline>
              </w:drawing>
            </w:r>
          </w:p>
        </w:tc>
      </w:tr>
    </w:tbl>
    <w:p w14:paraId="3AA585E9" w14:textId="77777777" w:rsidR="000A0A55" w:rsidRDefault="000A0A55" w:rsidP="000A0A55">
      <w:pPr>
        <w:pStyle w:val="Standard"/>
        <w:jc w:val="center"/>
        <w:rPr>
          <w:rFonts w:ascii="Garamond" w:hAnsi="Garamond"/>
          <w:i/>
          <w:iCs/>
          <w:sz w:val="22"/>
          <w:szCs w:val="22"/>
        </w:rPr>
      </w:pPr>
    </w:p>
    <w:p w14:paraId="7B0F20B8" w14:textId="77777777" w:rsidR="000A0A55" w:rsidRDefault="000A0A55" w:rsidP="000A0A55">
      <w:pPr>
        <w:pStyle w:val="Standard"/>
        <w:jc w:val="center"/>
        <w:rPr>
          <w:rFonts w:ascii="Garamond" w:hAnsi="Garamond"/>
          <w:b/>
          <w:bCs/>
          <w:sz w:val="22"/>
          <w:szCs w:val="22"/>
        </w:rPr>
      </w:pPr>
      <w:r>
        <w:rPr>
          <w:rFonts w:ascii="Garamond" w:hAnsi="Garamond"/>
          <w:b/>
          <w:bCs/>
          <w:sz w:val="22"/>
          <w:szCs w:val="22"/>
        </w:rPr>
        <w:t>Definition</w:t>
      </w:r>
    </w:p>
    <w:p w14:paraId="0E673453" w14:textId="77777777" w:rsidR="000A0A55" w:rsidRDefault="000A0A55" w:rsidP="000A0A55">
      <w:pPr>
        <w:pStyle w:val="Standard"/>
        <w:rPr>
          <w:rFonts w:ascii="Garamond" w:hAnsi="Garamond"/>
          <w:sz w:val="22"/>
          <w:szCs w:val="22"/>
        </w:rPr>
      </w:pPr>
      <w:r>
        <w:rPr>
          <w:rFonts w:ascii="Garamond" w:hAnsi="Garamond"/>
          <w:sz w:val="22"/>
          <w:szCs w:val="22"/>
        </w:rPr>
        <w:tab/>
        <w:t>Oral communication is a prepared, purposeful presentation designed to increase knowledge, to foster understanding, or to promote change in the listeners' attitudes, values, beliefs, or behaviors.</w:t>
      </w:r>
    </w:p>
    <w:p w14:paraId="284F02D6" w14:textId="77777777" w:rsidR="000A0A55" w:rsidRDefault="000A0A55" w:rsidP="000A0A55">
      <w:pPr>
        <w:pStyle w:val="Standard"/>
        <w:jc w:val="center"/>
        <w:rPr>
          <w:rFonts w:ascii="Garamond" w:hAnsi="Garamond"/>
          <w:i/>
          <w:iCs/>
          <w:sz w:val="22"/>
          <w:szCs w:val="22"/>
        </w:rPr>
      </w:pPr>
      <w:r>
        <w:rPr>
          <w:rFonts w:ascii="Garamond" w:hAnsi="Garamond"/>
          <w:i/>
          <w:iCs/>
          <w:sz w:val="22"/>
          <w:szCs w:val="22"/>
        </w:rPr>
        <w:t>Evaluators are encouraged to assign a zero to any work sample or collection of work that does not meet benchmark (cell one) level performance.</w:t>
      </w:r>
    </w:p>
    <w:p w14:paraId="7A2C856F" w14:textId="77777777" w:rsidR="000A0A55" w:rsidRDefault="000A0A55" w:rsidP="000A0A55">
      <w:pPr>
        <w:pStyle w:val="Standard"/>
        <w:jc w:val="center"/>
        <w:rPr>
          <w:rFonts w:ascii="Garamond" w:hAnsi="Garamond"/>
          <w:sz w:val="22"/>
          <w:szCs w:val="22"/>
        </w:rPr>
      </w:pPr>
    </w:p>
    <w:tbl>
      <w:tblPr>
        <w:tblW w:w="18723" w:type="dxa"/>
        <w:tblInd w:w="45" w:type="dxa"/>
        <w:tblLayout w:type="fixed"/>
        <w:tblCellMar>
          <w:left w:w="10" w:type="dxa"/>
          <w:right w:w="10" w:type="dxa"/>
        </w:tblCellMar>
        <w:tblLook w:val="0000" w:firstRow="0" w:lastRow="0" w:firstColumn="0" w:lastColumn="0" w:noHBand="0" w:noVBand="0"/>
      </w:tblPr>
      <w:tblGrid>
        <w:gridCol w:w="3743"/>
        <w:gridCol w:w="3745"/>
        <w:gridCol w:w="3744"/>
        <w:gridCol w:w="3745"/>
        <w:gridCol w:w="3746"/>
      </w:tblGrid>
      <w:tr w:rsidR="000A0A55" w14:paraId="33094805" w14:textId="77777777" w:rsidTr="00435328">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1907EE49" w14:textId="77777777" w:rsidR="000A0A55" w:rsidRDefault="000A0A55" w:rsidP="00435328">
            <w:pPr>
              <w:pStyle w:val="Standard"/>
              <w:jc w:val="center"/>
              <w:rPr>
                <w:rFonts w:ascii="Garamond" w:hAnsi="Garamond"/>
                <w:b/>
                <w:bCs/>
                <w:sz w:val="22"/>
                <w:szCs w:val="22"/>
              </w:rPr>
            </w:pPr>
          </w:p>
        </w:tc>
        <w:tc>
          <w:tcPr>
            <w:tcW w:w="3745" w:type="dxa"/>
            <w:tcBorders>
              <w:top w:val="single" w:sz="2" w:space="0" w:color="000000"/>
              <w:left w:val="single" w:sz="2" w:space="0" w:color="000000"/>
              <w:bottom w:val="single" w:sz="2" w:space="0" w:color="000000"/>
            </w:tcBorders>
            <w:tcMar>
              <w:top w:w="55" w:type="dxa"/>
              <w:left w:w="55" w:type="dxa"/>
              <w:bottom w:w="55" w:type="dxa"/>
              <w:right w:w="55" w:type="dxa"/>
            </w:tcMar>
          </w:tcPr>
          <w:p w14:paraId="604D1CD7" w14:textId="77777777" w:rsidR="000A0A55" w:rsidRDefault="000A0A55" w:rsidP="00435328">
            <w:pPr>
              <w:pStyle w:val="Standard"/>
              <w:jc w:val="center"/>
              <w:rPr>
                <w:rFonts w:ascii="Garamond" w:hAnsi="Garamond"/>
                <w:b/>
                <w:bCs/>
                <w:sz w:val="22"/>
                <w:szCs w:val="22"/>
              </w:rPr>
            </w:pPr>
            <w:r>
              <w:rPr>
                <w:rFonts w:ascii="Garamond" w:hAnsi="Garamond"/>
                <w:b/>
                <w:bCs/>
                <w:sz w:val="22"/>
                <w:szCs w:val="22"/>
              </w:rPr>
              <w:t>Capstone</w:t>
            </w:r>
          </w:p>
          <w:p w14:paraId="09585866" w14:textId="77777777" w:rsidR="000A0A55" w:rsidRDefault="000A0A55" w:rsidP="00435328">
            <w:pPr>
              <w:pStyle w:val="Standard"/>
              <w:jc w:val="center"/>
              <w:rPr>
                <w:rFonts w:ascii="Garamond" w:hAnsi="Garamond"/>
                <w:sz w:val="22"/>
                <w:szCs w:val="22"/>
              </w:rPr>
            </w:pPr>
            <w:r>
              <w:rPr>
                <w:rFonts w:ascii="Garamond" w:hAnsi="Garamond"/>
                <w:sz w:val="22"/>
                <w:szCs w:val="22"/>
              </w:rPr>
              <w:t>4</w:t>
            </w:r>
          </w:p>
        </w:tc>
        <w:tc>
          <w:tcPr>
            <w:tcW w:w="748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D43F0F0" w14:textId="77777777" w:rsidR="000A0A55" w:rsidRDefault="000A0A55" w:rsidP="00435328">
            <w:pPr>
              <w:pStyle w:val="Standard"/>
              <w:jc w:val="center"/>
              <w:rPr>
                <w:rFonts w:ascii="Garamond" w:hAnsi="Garamond"/>
                <w:b/>
                <w:bCs/>
                <w:sz w:val="22"/>
                <w:szCs w:val="22"/>
              </w:rPr>
            </w:pPr>
            <w:r>
              <w:rPr>
                <w:rFonts w:ascii="Garamond" w:hAnsi="Garamond"/>
                <w:b/>
                <w:bCs/>
                <w:sz w:val="22"/>
                <w:szCs w:val="22"/>
              </w:rPr>
              <w:t>Milestones</w:t>
            </w:r>
          </w:p>
          <w:p w14:paraId="527EDD49" w14:textId="77777777" w:rsidR="000A0A55" w:rsidRDefault="000A0A55" w:rsidP="00435328">
            <w:pPr>
              <w:pStyle w:val="Standard"/>
              <w:jc w:val="center"/>
              <w:rPr>
                <w:rFonts w:ascii="Garamond" w:hAnsi="Garamond"/>
                <w:sz w:val="22"/>
                <w:szCs w:val="22"/>
              </w:rPr>
            </w:pPr>
            <w:r>
              <w:rPr>
                <w:rFonts w:ascii="Garamond" w:hAnsi="Garamond"/>
                <w:sz w:val="22"/>
                <w:szCs w:val="22"/>
              </w:rPr>
              <w:t>3</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w:t>
            </w:r>
          </w:p>
        </w:tc>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FC18E7" w14:textId="77777777" w:rsidR="000A0A55" w:rsidRDefault="000A0A55" w:rsidP="00435328">
            <w:pPr>
              <w:pStyle w:val="Standard"/>
              <w:jc w:val="center"/>
              <w:rPr>
                <w:rFonts w:ascii="Garamond" w:hAnsi="Garamond"/>
                <w:b/>
                <w:bCs/>
                <w:sz w:val="22"/>
                <w:szCs w:val="22"/>
              </w:rPr>
            </w:pPr>
            <w:r>
              <w:rPr>
                <w:rFonts w:ascii="Garamond" w:hAnsi="Garamond"/>
                <w:b/>
                <w:bCs/>
                <w:sz w:val="22"/>
                <w:szCs w:val="22"/>
              </w:rPr>
              <w:t>Benchmark</w:t>
            </w:r>
          </w:p>
          <w:p w14:paraId="4D543886" w14:textId="77777777" w:rsidR="000A0A55" w:rsidRDefault="000A0A55" w:rsidP="00435328">
            <w:pPr>
              <w:pStyle w:val="Standard"/>
              <w:jc w:val="center"/>
              <w:rPr>
                <w:rFonts w:ascii="Garamond" w:hAnsi="Garamond"/>
                <w:sz w:val="22"/>
                <w:szCs w:val="22"/>
              </w:rPr>
            </w:pPr>
            <w:r>
              <w:rPr>
                <w:rFonts w:ascii="Garamond" w:hAnsi="Garamond"/>
                <w:sz w:val="22"/>
                <w:szCs w:val="22"/>
              </w:rPr>
              <w:t>1</w:t>
            </w:r>
          </w:p>
        </w:tc>
      </w:tr>
      <w:tr w:rsidR="000A0A55" w14:paraId="6DBEFE52"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061CAB68" w14:textId="77777777" w:rsidR="000A0A55" w:rsidRDefault="000A0A55" w:rsidP="00435328">
            <w:pPr>
              <w:pStyle w:val="Standard"/>
              <w:rPr>
                <w:rFonts w:ascii="Garamond" w:hAnsi="Garamond"/>
                <w:b/>
                <w:bCs/>
                <w:sz w:val="22"/>
                <w:szCs w:val="22"/>
              </w:rPr>
            </w:pPr>
            <w:r>
              <w:rPr>
                <w:rFonts w:ascii="Garamond" w:hAnsi="Garamond"/>
                <w:b/>
                <w:bCs/>
                <w:sz w:val="22"/>
                <w:szCs w:val="22"/>
              </w:rPr>
              <w:t>Organization</w:t>
            </w:r>
          </w:p>
        </w:tc>
        <w:tc>
          <w:tcPr>
            <w:tcW w:w="3745" w:type="dxa"/>
            <w:tcBorders>
              <w:left w:val="single" w:sz="2" w:space="0" w:color="000000"/>
              <w:bottom w:val="single" w:sz="2" w:space="0" w:color="000000"/>
            </w:tcBorders>
            <w:tcMar>
              <w:top w:w="55" w:type="dxa"/>
              <w:left w:w="55" w:type="dxa"/>
              <w:bottom w:w="55" w:type="dxa"/>
              <w:right w:w="55" w:type="dxa"/>
            </w:tcMar>
          </w:tcPr>
          <w:p w14:paraId="14E8621E" w14:textId="77777777" w:rsidR="000A0A55" w:rsidRDefault="000A0A55" w:rsidP="00435328">
            <w:pPr>
              <w:pStyle w:val="Standard"/>
              <w:rPr>
                <w:rFonts w:ascii="Garamond" w:hAnsi="Garamond"/>
                <w:sz w:val="22"/>
                <w:szCs w:val="22"/>
              </w:rPr>
            </w:pPr>
            <w:r>
              <w:rPr>
                <w:rFonts w:ascii="Garamond" w:hAnsi="Garamond"/>
                <w:sz w:val="22"/>
                <w:szCs w:val="22"/>
              </w:rPr>
              <w:t>Organizational pattern (specific introduction and conclusion, sequenced material within the body, and transitions) is clearly and consistently observable and is skillful and makes the content of the presentation cohesive.</w:t>
            </w:r>
          </w:p>
        </w:tc>
        <w:tc>
          <w:tcPr>
            <w:tcW w:w="3744" w:type="dxa"/>
            <w:tcBorders>
              <w:left w:val="single" w:sz="2" w:space="0" w:color="000000"/>
              <w:bottom w:val="single" w:sz="2" w:space="0" w:color="000000"/>
            </w:tcBorders>
            <w:tcMar>
              <w:top w:w="55" w:type="dxa"/>
              <w:left w:w="55" w:type="dxa"/>
              <w:bottom w:w="55" w:type="dxa"/>
              <w:right w:w="55" w:type="dxa"/>
            </w:tcMar>
          </w:tcPr>
          <w:p w14:paraId="3208C841" w14:textId="77777777" w:rsidR="000A0A55" w:rsidRDefault="000A0A55" w:rsidP="00435328">
            <w:pPr>
              <w:pStyle w:val="Standard"/>
              <w:rPr>
                <w:rFonts w:ascii="Garamond" w:hAnsi="Garamond"/>
                <w:sz w:val="22"/>
                <w:szCs w:val="22"/>
              </w:rPr>
            </w:pPr>
            <w:r>
              <w:rPr>
                <w:rFonts w:ascii="Garamond" w:hAnsi="Garamond"/>
                <w:sz w:val="22"/>
                <w:szCs w:val="22"/>
              </w:rPr>
              <w:t>Organizational pattern (specific introductio</w:t>
            </w:r>
            <w:r>
              <w:rPr>
                <w:rFonts w:ascii="Garamond" w:hAnsi="Garamond"/>
                <w:sz w:val="22"/>
                <w:szCs w:val="22"/>
                <w:lang w:val="en-US"/>
              </w:rPr>
              <w:t xml:space="preserve">n </w:t>
            </w:r>
            <w:r>
              <w:rPr>
                <w:rFonts w:ascii="Garamond" w:hAnsi="Garamond"/>
                <w:sz w:val="22"/>
                <w:szCs w:val="22"/>
              </w:rPr>
              <w:t>and conclusion, sequenced material within the body, and transitions) is clearly and consistently observable within the presentation.</w:t>
            </w:r>
          </w:p>
        </w:tc>
        <w:tc>
          <w:tcPr>
            <w:tcW w:w="3745" w:type="dxa"/>
            <w:tcBorders>
              <w:left w:val="single" w:sz="2" w:space="0" w:color="000000"/>
              <w:bottom w:val="single" w:sz="2" w:space="0" w:color="000000"/>
            </w:tcBorders>
            <w:tcMar>
              <w:top w:w="55" w:type="dxa"/>
              <w:left w:w="55" w:type="dxa"/>
              <w:bottom w:w="55" w:type="dxa"/>
              <w:right w:w="55" w:type="dxa"/>
            </w:tcMar>
          </w:tcPr>
          <w:p w14:paraId="15F737AA" w14:textId="77777777" w:rsidR="000A0A55" w:rsidRDefault="000A0A55" w:rsidP="00435328">
            <w:pPr>
              <w:pStyle w:val="Standard"/>
              <w:rPr>
                <w:rFonts w:ascii="Garamond" w:hAnsi="Garamond"/>
                <w:sz w:val="22"/>
                <w:szCs w:val="22"/>
              </w:rPr>
            </w:pPr>
            <w:r>
              <w:rPr>
                <w:rFonts w:ascii="Garamond" w:hAnsi="Garamond"/>
                <w:sz w:val="22"/>
                <w:szCs w:val="22"/>
              </w:rPr>
              <w:t>Organizational pattern (specific introduction and conclusion, sequenced material within the body, and transitions) is intermittently observable within the presentation.</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1F2443" w14:textId="77777777" w:rsidR="000A0A55" w:rsidRDefault="000A0A55" w:rsidP="00435328">
            <w:pPr>
              <w:pStyle w:val="Standard"/>
              <w:rPr>
                <w:rFonts w:ascii="Garamond" w:hAnsi="Garamond"/>
                <w:sz w:val="22"/>
                <w:szCs w:val="22"/>
              </w:rPr>
            </w:pPr>
            <w:r>
              <w:rPr>
                <w:rFonts w:ascii="Garamond" w:hAnsi="Garamond"/>
                <w:sz w:val="22"/>
                <w:szCs w:val="22"/>
              </w:rPr>
              <w:t>Organizational pattern (specific introduction and conclusion, sequenced material within the body, and transitions) is not observable within the presentation.</w:t>
            </w:r>
          </w:p>
        </w:tc>
      </w:tr>
      <w:tr w:rsidR="000A0A55" w14:paraId="11AD1147"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532F83C7" w14:textId="77777777" w:rsidR="000A0A55" w:rsidRDefault="000A0A55" w:rsidP="00435328">
            <w:pPr>
              <w:pStyle w:val="Standard"/>
              <w:rPr>
                <w:rFonts w:ascii="Garamond" w:hAnsi="Garamond"/>
                <w:b/>
                <w:bCs/>
                <w:sz w:val="22"/>
                <w:szCs w:val="22"/>
              </w:rPr>
            </w:pPr>
            <w:r>
              <w:rPr>
                <w:rFonts w:ascii="Garamond" w:hAnsi="Garamond"/>
                <w:b/>
                <w:bCs/>
                <w:sz w:val="22"/>
                <w:szCs w:val="22"/>
              </w:rPr>
              <w:t>Language</w:t>
            </w:r>
          </w:p>
        </w:tc>
        <w:tc>
          <w:tcPr>
            <w:tcW w:w="3745" w:type="dxa"/>
            <w:tcBorders>
              <w:left w:val="single" w:sz="2" w:space="0" w:color="000000"/>
              <w:bottom w:val="single" w:sz="2" w:space="0" w:color="000000"/>
            </w:tcBorders>
            <w:tcMar>
              <w:top w:w="55" w:type="dxa"/>
              <w:left w:w="55" w:type="dxa"/>
              <w:bottom w:w="55" w:type="dxa"/>
              <w:right w:w="55" w:type="dxa"/>
            </w:tcMar>
          </w:tcPr>
          <w:p w14:paraId="60DF4A06" w14:textId="77777777" w:rsidR="000A0A55" w:rsidRDefault="000A0A55" w:rsidP="00435328">
            <w:pPr>
              <w:pStyle w:val="Standard"/>
              <w:rPr>
                <w:rFonts w:ascii="Garamond" w:hAnsi="Garamond"/>
                <w:sz w:val="22"/>
                <w:szCs w:val="22"/>
              </w:rPr>
            </w:pPr>
            <w:r>
              <w:rPr>
                <w:rFonts w:ascii="Garamond" w:hAnsi="Garamond"/>
                <w:sz w:val="22"/>
                <w:szCs w:val="22"/>
              </w:rPr>
              <w:t>Language choices are imaginative, memorable</w:t>
            </w:r>
            <w:r>
              <w:rPr>
                <w:rFonts w:ascii="Garamond" w:hAnsi="Garamond"/>
                <w:sz w:val="22"/>
                <w:szCs w:val="22"/>
                <w:lang w:val="en-US"/>
              </w:rPr>
              <w:t>,</w:t>
            </w:r>
            <w:r>
              <w:rPr>
                <w:rFonts w:ascii="Garamond" w:hAnsi="Garamond"/>
                <w:sz w:val="22"/>
                <w:szCs w:val="22"/>
              </w:rPr>
              <w:t xml:space="preserve"> and compelling</w:t>
            </w:r>
            <w:r>
              <w:rPr>
                <w:rFonts w:ascii="Garamond" w:hAnsi="Garamond"/>
                <w:sz w:val="22"/>
                <w:szCs w:val="22"/>
                <w:lang w:val="en-US"/>
              </w:rPr>
              <w:t>,</w:t>
            </w:r>
            <w:r>
              <w:rPr>
                <w:rFonts w:ascii="Garamond" w:hAnsi="Garamond"/>
                <w:sz w:val="22"/>
                <w:szCs w:val="22"/>
              </w:rPr>
              <w:t xml:space="preserve"> and enhance the effectiveness of the presentation. Language in presentation is appropriate to audience.</w:t>
            </w:r>
          </w:p>
        </w:tc>
        <w:tc>
          <w:tcPr>
            <w:tcW w:w="3744" w:type="dxa"/>
            <w:tcBorders>
              <w:left w:val="single" w:sz="2" w:space="0" w:color="000000"/>
              <w:bottom w:val="single" w:sz="2" w:space="0" w:color="000000"/>
            </w:tcBorders>
            <w:tcMar>
              <w:top w:w="55" w:type="dxa"/>
              <w:left w:w="55" w:type="dxa"/>
              <w:bottom w:w="55" w:type="dxa"/>
              <w:right w:w="55" w:type="dxa"/>
            </w:tcMar>
          </w:tcPr>
          <w:p w14:paraId="7127B51F" w14:textId="77777777" w:rsidR="000A0A55" w:rsidRDefault="000A0A55" w:rsidP="00435328">
            <w:pPr>
              <w:pStyle w:val="Standard"/>
              <w:rPr>
                <w:rFonts w:ascii="Garamond" w:hAnsi="Garamond"/>
                <w:sz w:val="22"/>
                <w:szCs w:val="22"/>
              </w:rPr>
            </w:pPr>
            <w:r>
              <w:rPr>
                <w:rFonts w:ascii="Garamond" w:hAnsi="Garamond"/>
                <w:sz w:val="22"/>
                <w:szCs w:val="22"/>
              </w:rPr>
              <w:t>Language choices are thoughtful and generally support the effectiveness of the presentation. Language in presentation is appropriate to audience.</w:t>
            </w:r>
          </w:p>
        </w:tc>
        <w:tc>
          <w:tcPr>
            <w:tcW w:w="3745" w:type="dxa"/>
            <w:tcBorders>
              <w:left w:val="single" w:sz="2" w:space="0" w:color="000000"/>
              <w:bottom w:val="single" w:sz="2" w:space="0" w:color="000000"/>
            </w:tcBorders>
            <w:tcMar>
              <w:top w:w="55" w:type="dxa"/>
              <w:left w:w="55" w:type="dxa"/>
              <w:bottom w:w="55" w:type="dxa"/>
              <w:right w:w="55" w:type="dxa"/>
            </w:tcMar>
          </w:tcPr>
          <w:p w14:paraId="1B5C6A83" w14:textId="77777777" w:rsidR="000A0A55" w:rsidRDefault="000A0A55" w:rsidP="00435328">
            <w:pPr>
              <w:pStyle w:val="Standard"/>
              <w:rPr>
                <w:rFonts w:ascii="Garamond" w:hAnsi="Garamond"/>
                <w:sz w:val="22"/>
                <w:szCs w:val="22"/>
              </w:rPr>
            </w:pPr>
            <w:r>
              <w:rPr>
                <w:rFonts w:ascii="Garamond" w:hAnsi="Garamond"/>
                <w:sz w:val="22"/>
                <w:szCs w:val="22"/>
              </w:rPr>
              <w:t>Language choices are mundane and commonplace and partially support the effectiveness of the presentation. Language in presentation is appropriate to audience.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6EEDFE" w14:textId="77777777" w:rsidR="000A0A55" w:rsidRDefault="000A0A55" w:rsidP="00435328">
            <w:pPr>
              <w:pStyle w:val="Standard"/>
              <w:rPr>
                <w:rFonts w:ascii="Garamond" w:hAnsi="Garamond"/>
                <w:sz w:val="22"/>
                <w:szCs w:val="22"/>
              </w:rPr>
            </w:pPr>
            <w:r>
              <w:rPr>
                <w:rFonts w:ascii="Garamond" w:hAnsi="Garamond"/>
                <w:sz w:val="22"/>
                <w:szCs w:val="22"/>
              </w:rPr>
              <w:t>Language choices are unclear and minimally support the effectiveness of the presentation. Language in presentation is not appropriate to audience.</w:t>
            </w:r>
          </w:p>
        </w:tc>
      </w:tr>
      <w:tr w:rsidR="000A0A55" w14:paraId="10A2C346"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377C88C4" w14:textId="77777777" w:rsidR="000A0A55" w:rsidRDefault="000A0A55" w:rsidP="00435328">
            <w:pPr>
              <w:pStyle w:val="Standard"/>
              <w:rPr>
                <w:rFonts w:ascii="Garamond" w:hAnsi="Garamond"/>
                <w:b/>
                <w:bCs/>
                <w:sz w:val="22"/>
                <w:szCs w:val="22"/>
              </w:rPr>
            </w:pPr>
            <w:r>
              <w:rPr>
                <w:rFonts w:ascii="Garamond" w:hAnsi="Garamond"/>
                <w:b/>
                <w:bCs/>
                <w:sz w:val="22"/>
                <w:szCs w:val="22"/>
              </w:rPr>
              <w:t>Delivery</w:t>
            </w:r>
          </w:p>
        </w:tc>
        <w:tc>
          <w:tcPr>
            <w:tcW w:w="3745" w:type="dxa"/>
            <w:tcBorders>
              <w:left w:val="single" w:sz="2" w:space="0" w:color="000000"/>
              <w:bottom w:val="single" w:sz="2" w:space="0" w:color="000000"/>
            </w:tcBorders>
            <w:tcMar>
              <w:top w:w="55" w:type="dxa"/>
              <w:left w:w="55" w:type="dxa"/>
              <w:bottom w:w="55" w:type="dxa"/>
              <w:right w:w="55" w:type="dxa"/>
            </w:tcMar>
          </w:tcPr>
          <w:p w14:paraId="3F9794FB" w14:textId="77777777" w:rsidR="000A0A55" w:rsidRDefault="000A0A55" w:rsidP="00435328">
            <w:pPr>
              <w:pStyle w:val="Standard"/>
              <w:rPr>
                <w:rFonts w:ascii="Garamond" w:hAnsi="Garamond"/>
                <w:sz w:val="22"/>
                <w:szCs w:val="22"/>
              </w:rPr>
            </w:pPr>
            <w:r>
              <w:rPr>
                <w:rFonts w:ascii="Garamond" w:hAnsi="Garamond"/>
                <w:sz w:val="22"/>
                <w:szCs w:val="22"/>
              </w:rPr>
              <w:t>Delivery techniques (posture, gesture, eye contact, and vocal expressiveness) make the presentation compelling, and speaker appears polished and confident.</w:t>
            </w:r>
          </w:p>
        </w:tc>
        <w:tc>
          <w:tcPr>
            <w:tcW w:w="3744" w:type="dxa"/>
            <w:tcBorders>
              <w:left w:val="single" w:sz="2" w:space="0" w:color="000000"/>
              <w:bottom w:val="single" w:sz="2" w:space="0" w:color="000000"/>
            </w:tcBorders>
            <w:tcMar>
              <w:top w:w="55" w:type="dxa"/>
              <w:left w:w="55" w:type="dxa"/>
              <w:bottom w:w="55" w:type="dxa"/>
              <w:right w:w="55" w:type="dxa"/>
            </w:tcMar>
          </w:tcPr>
          <w:p w14:paraId="353B297E" w14:textId="77777777" w:rsidR="000A0A55" w:rsidRDefault="000A0A55" w:rsidP="00435328">
            <w:pPr>
              <w:pStyle w:val="Standard"/>
              <w:rPr>
                <w:rFonts w:ascii="Garamond" w:hAnsi="Garamond"/>
                <w:sz w:val="22"/>
                <w:szCs w:val="22"/>
              </w:rPr>
            </w:pPr>
            <w:r>
              <w:rPr>
                <w:rFonts w:ascii="Garamond" w:hAnsi="Garamond"/>
                <w:sz w:val="22"/>
                <w:szCs w:val="22"/>
              </w:rPr>
              <w:t>Delivery techniques (posture, gesture, eye contact, and vocal expressiveness) make the presentation interesting, and speaker appears comfortable.</w:t>
            </w:r>
          </w:p>
        </w:tc>
        <w:tc>
          <w:tcPr>
            <w:tcW w:w="3745" w:type="dxa"/>
            <w:tcBorders>
              <w:left w:val="single" w:sz="2" w:space="0" w:color="000000"/>
              <w:bottom w:val="single" w:sz="2" w:space="0" w:color="000000"/>
            </w:tcBorders>
            <w:tcMar>
              <w:top w:w="55" w:type="dxa"/>
              <w:left w:w="55" w:type="dxa"/>
              <w:bottom w:w="55" w:type="dxa"/>
              <w:right w:w="55" w:type="dxa"/>
            </w:tcMar>
          </w:tcPr>
          <w:p w14:paraId="39B3851D" w14:textId="77777777" w:rsidR="000A0A55" w:rsidRDefault="000A0A55" w:rsidP="00435328">
            <w:pPr>
              <w:pStyle w:val="Standard"/>
              <w:rPr>
                <w:rFonts w:ascii="Garamond" w:hAnsi="Garamond"/>
                <w:sz w:val="22"/>
                <w:szCs w:val="22"/>
              </w:rPr>
            </w:pPr>
            <w:r>
              <w:rPr>
                <w:rFonts w:ascii="Garamond" w:hAnsi="Garamond"/>
                <w:sz w:val="22"/>
                <w:szCs w:val="22"/>
              </w:rPr>
              <w:t>Delivery techniques (posture, gesture, eye contact, and vocal expressiveness) make the presentation understandable, and speaker appears tentative.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6882C" w14:textId="77777777" w:rsidR="000A0A55" w:rsidRDefault="000A0A55" w:rsidP="00435328">
            <w:pPr>
              <w:pStyle w:val="Standard"/>
              <w:rPr>
                <w:rFonts w:ascii="Garamond" w:hAnsi="Garamond"/>
                <w:sz w:val="22"/>
                <w:szCs w:val="22"/>
              </w:rPr>
            </w:pPr>
            <w:r>
              <w:rPr>
                <w:rFonts w:ascii="Garamond" w:hAnsi="Garamond"/>
                <w:sz w:val="22"/>
                <w:szCs w:val="22"/>
              </w:rPr>
              <w:t>Delivery techniques (posture, gesture, eye contact, and vocal expressiveness) detract from the understandability of the presentation, and speaker appears uncomfortable.</w:t>
            </w:r>
          </w:p>
        </w:tc>
      </w:tr>
      <w:tr w:rsidR="000A0A55" w14:paraId="33F48F1A"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4F2A0C40" w14:textId="77777777" w:rsidR="000A0A55" w:rsidRDefault="000A0A55" w:rsidP="00435328">
            <w:pPr>
              <w:pStyle w:val="Standard"/>
              <w:rPr>
                <w:rFonts w:ascii="Garamond" w:hAnsi="Garamond"/>
                <w:b/>
                <w:bCs/>
                <w:sz w:val="22"/>
                <w:szCs w:val="22"/>
              </w:rPr>
            </w:pPr>
            <w:r>
              <w:rPr>
                <w:rFonts w:ascii="Garamond" w:hAnsi="Garamond"/>
                <w:b/>
                <w:bCs/>
                <w:sz w:val="22"/>
                <w:szCs w:val="22"/>
              </w:rPr>
              <w:t>Supporting Material</w:t>
            </w:r>
          </w:p>
        </w:tc>
        <w:tc>
          <w:tcPr>
            <w:tcW w:w="3745" w:type="dxa"/>
            <w:tcBorders>
              <w:left w:val="single" w:sz="2" w:space="0" w:color="000000"/>
              <w:bottom w:val="single" w:sz="2" w:space="0" w:color="000000"/>
            </w:tcBorders>
            <w:tcMar>
              <w:top w:w="55" w:type="dxa"/>
              <w:left w:w="55" w:type="dxa"/>
              <w:bottom w:w="55" w:type="dxa"/>
              <w:right w:w="55" w:type="dxa"/>
            </w:tcMar>
          </w:tcPr>
          <w:p w14:paraId="1B24D974" w14:textId="77777777" w:rsidR="000A0A55" w:rsidRDefault="000A0A55" w:rsidP="00435328">
            <w:pPr>
              <w:pStyle w:val="Standard"/>
              <w:rPr>
                <w:rFonts w:ascii="Garamond" w:hAnsi="Garamond"/>
                <w:sz w:val="22"/>
                <w:szCs w:val="22"/>
              </w:rPr>
            </w:pPr>
            <w:r>
              <w:rPr>
                <w:rFonts w:ascii="Garamond" w:hAnsi="Garamond"/>
                <w:sz w:val="22"/>
                <w:szCs w:val="22"/>
              </w:rPr>
              <w:t xml:space="preserve">A variety of types of supporting materials (explanations, examples, illustrations, statistics, analogies, quotations from relevant authorities) make appropriate reference to information or analysis </w:t>
            </w:r>
            <w:r>
              <w:rPr>
                <w:rFonts w:ascii="Garamond" w:hAnsi="Garamond"/>
                <w:sz w:val="22"/>
                <w:szCs w:val="22"/>
                <w:lang w:val="en-US"/>
              </w:rPr>
              <w:t>that</w:t>
            </w:r>
            <w:r>
              <w:rPr>
                <w:rFonts w:ascii="Garamond" w:hAnsi="Garamond"/>
                <w:sz w:val="22"/>
                <w:szCs w:val="22"/>
              </w:rPr>
              <w:t xml:space="preserve"> significantly supports the presentation or establishes the presenter's credibility/authority on the topic.</w:t>
            </w:r>
          </w:p>
        </w:tc>
        <w:tc>
          <w:tcPr>
            <w:tcW w:w="3744" w:type="dxa"/>
            <w:tcBorders>
              <w:left w:val="single" w:sz="2" w:space="0" w:color="000000"/>
              <w:bottom w:val="single" w:sz="2" w:space="0" w:color="000000"/>
            </w:tcBorders>
            <w:tcMar>
              <w:top w:w="55" w:type="dxa"/>
              <w:left w:w="55" w:type="dxa"/>
              <w:bottom w:w="55" w:type="dxa"/>
              <w:right w:w="55" w:type="dxa"/>
            </w:tcMar>
          </w:tcPr>
          <w:p w14:paraId="6FB707B0" w14:textId="77777777" w:rsidR="000A0A55" w:rsidRDefault="000A0A55" w:rsidP="00435328">
            <w:pPr>
              <w:pStyle w:val="Standard"/>
              <w:rPr>
                <w:rFonts w:ascii="Garamond" w:hAnsi="Garamond"/>
                <w:sz w:val="22"/>
                <w:szCs w:val="22"/>
              </w:rPr>
            </w:pPr>
            <w:r>
              <w:rPr>
                <w:rFonts w:ascii="Garamond" w:hAnsi="Garamond"/>
                <w:sz w:val="22"/>
                <w:szCs w:val="22"/>
              </w:rPr>
              <w:t xml:space="preserve">Supporting materials (explanations, examples, illustrations, statistics, analogies, quotations from relevant authorities) make appropriate reference to information or analysis </w:t>
            </w:r>
            <w:r>
              <w:rPr>
                <w:rFonts w:ascii="Garamond" w:hAnsi="Garamond"/>
                <w:sz w:val="22"/>
                <w:szCs w:val="22"/>
                <w:lang w:val="en-US"/>
              </w:rPr>
              <w:t>that</w:t>
            </w:r>
            <w:r>
              <w:rPr>
                <w:rFonts w:ascii="Garamond" w:hAnsi="Garamond"/>
                <w:sz w:val="22"/>
                <w:szCs w:val="22"/>
              </w:rPr>
              <w:t xml:space="preserve"> generally supports the presentation or establishes the presenter's credibility/authority on the topic.</w:t>
            </w:r>
          </w:p>
        </w:tc>
        <w:tc>
          <w:tcPr>
            <w:tcW w:w="3745" w:type="dxa"/>
            <w:tcBorders>
              <w:left w:val="single" w:sz="2" w:space="0" w:color="000000"/>
              <w:bottom w:val="single" w:sz="2" w:space="0" w:color="000000"/>
            </w:tcBorders>
            <w:tcMar>
              <w:top w:w="55" w:type="dxa"/>
              <w:left w:w="55" w:type="dxa"/>
              <w:bottom w:w="55" w:type="dxa"/>
              <w:right w:w="55" w:type="dxa"/>
            </w:tcMar>
          </w:tcPr>
          <w:p w14:paraId="5BAECEE4" w14:textId="77777777" w:rsidR="000A0A55" w:rsidRDefault="000A0A55" w:rsidP="00435328">
            <w:pPr>
              <w:pStyle w:val="Standard"/>
              <w:rPr>
                <w:rFonts w:ascii="Garamond" w:hAnsi="Garamond"/>
                <w:sz w:val="22"/>
                <w:szCs w:val="22"/>
              </w:rPr>
            </w:pPr>
            <w:r>
              <w:rPr>
                <w:rFonts w:ascii="Garamond" w:hAnsi="Garamond"/>
                <w:sz w:val="22"/>
                <w:szCs w:val="22"/>
              </w:rPr>
              <w:t xml:space="preserve">Supporting materials (explanations, examples, illustrations, statistics, analogies, quotations from relevant authorities) make appropriate reference to information or analysis </w:t>
            </w:r>
            <w:r>
              <w:rPr>
                <w:rFonts w:ascii="Garamond" w:hAnsi="Garamond"/>
                <w:sz w:val="22"/>
                <w:szCs w:val="22"/>
                <w:lang w:val="en-US"/>
              </w:rPr>
              <w:t>that</w:t>
            </w:r>
            <w:r>
              <w:rPr>
                <w:rFonts w:ascii="Garamond" w:hAnsi="Garamond"/>
                <w:sz w:val="22"/>
                <w:szCs w:val="22"/>
              </w:rPr>
              <w:t xml:space="preserve"> partially supports the presentation or establishes the presenter's credibility/authority on the topic.</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43E6A7" w14:textId="77777777" w:rsidR="000A0A55" w:rsidRDefault="000A0A55" w:rsidP="00435328">
            <w:pPr>
              <w:pStyle w:val="Standard"/>
              <w:rPr>
                <w:rFonts w:ascii="Garamond" w:hAnsi="Garamond"/>
                <w:sz w:val="22"/>
                <w:szCs w:val="22"/>
              </w:rPr>
            </w:pPr>
            <w:r>
              <w:rPr>
                <w:rFonts w:ascii="Garamond" w:hAnsi="Garamond"/>
                <w:sz w:val="22"/>
                <w:szCs w:val="22"/>
              </w:rPr>
              <w:t xml:space="preserve">Insufficient supporting materials (explanations, examples, illustrations, statistics, analogies, quotations from relevant authorities) make reference to information or analysis </w:t>
            </w:r>
            <w:r>
              <w:rPr>
                <w:rFonts w:ascii="Garamond" w:hAnsi="Garamond"/>
                <w:sz w:val="22"/>
                <w:szCs w:val="22"/>
                <w:lang w:val="en-US"/>
              </w:rPr>
              <w:t>that</w:t>
            </w:r>
            <w:r>
              <w:rPr>
                <w:rFonts w:ascii="Garamond" w:hAnsi="Garamond"/>
                <w:sz w:val="22"/>
                <w:szCs w:val="22"/>
              </w:rPr>
              <w:t xml:space="preserve"> minimally supports the presentation or establishes the presenter's credibility/authority on the topic.</w:t>
            </w:r>
          </w:p>
        </w:tc>
      </w:tr>
      <w:tr w:rsidR="000A0A55" w14:paraId="6C8E6005"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4822AAA4" w14:textId="77777777" w:rsidR="000A0A55" w:rsidRDefault="000A0A55" w:rsidP="00435328">
            <w:pPr>
              <w:pStyle w:val="Standard"/>
              <w:rPr>
                <w:rFonts w:ascii="Garamond" w:hAnsi="Garamond"/>
                <w:b/>
                <w:bCs/>
                <w:sz w:val="22"/>
                <w:szCs w:val="22"/>
              </w:rPr>
            </w:pPr>
            <w:r>
              <w:rPr>
                <w:rFonts w:ascii="Garamond" w:hAnsi="Garamond"/>
                <w:b/>
                <w:bCs/>
                <w:sz w:val="22"/>
                <w:szCs w:val="22"/>
              </w:rPr>
              <w:t>Central Message</w:t>
            </w:r>
          </w:p>
        </w:tc>
        <w:tc>
          <w:tcPr>
            <w:tcW w:w="3745" w:type="dxa"/>
            <w:tcBorders>
              <w:left w:val="single" w:sz="2" w:space="0" w:color="000000"/>
              <w:bottom w:val="single" w:sz="2" w:space="0" w:color="000000"/>
            </w:tcBorders>
            <w:tcMar>
              <w:top w:w="55" w:type="dxa"/>
              <w:left w:w="55" w:type="dxa"/>
              <w:bottom w:w="55" w:type="dxa"/>
              <w:right w:w="55" w:type="dxa"/>
            </w:tcMar>
          </w:tcPr>
          <w:p w14:paraId="74F93961" w14:textId="77777777" w:rsidR="000A0A55" w:rsidRDefault="000A0A55" w:rsidP="00435328">
            <w:pPr>
              <w:pStyle w:val="Standard"/>
              <w:rPr>
                <w:rFonts w:ascii="Garamond" w:hAnsi="Garamond"/>
                <w:sz w:val="22"/>
                <w:szCs w:val="22"/>
              </w:rPr>
            </w:pPr>
            <w:r>
              <w:rPr>
                <w:rFonts w:ascii="Garamond" w:hAnsi="Garamond"/>
                <w:sz w:val="22"/>
                <w:szCs w:val="22"/>
              </w:rPr>
              <w:t>Central message is compelling (precisely stated, appropriately repeated, memorable, and strongly supported.) </w:t>
            </w:r>
          </w:p>
        </w:tc>
        <w:tc>
          <w:tcPr>
            <w:tcW w:w="3744" w:type="dxa"/>
            <w:tcBorders>
              <w:left w:val="single" w:sz="2" w:space="0" w:color="000000"/>
              <w:bottom w:val="single" w:sz="2" w:space="0" w:color="000000"/>
            </w:tcBorders>
            <w:tcMar>
              <w:top w:w="55" w:type="dxa"/>
              <w:left w:w="55" w:type="dxa"/>
              <w:bottom w:w="55" w:type="dxa"/>
              <w:right w:w="55" w:type="dxa"/>
            </w:tcMar>
          </w:tcPr>
          <w:p w14:paraId="181B3C58" w14:textId="77777777" w:rsidR="000A0A55" w:rsidRDefault="000A0A55" w:rsidP="00435328">
            <w:pPr>
              <w:pStyle w:val="Standard"/>
              <w:rPr>
                <w:rFonts w:ascii="Garamond" w:hAnsi="Garamond"/>
                <w:sz w:val="22"/>
                <w:szCs w:val="22"/>
              </w:rPr>
            </w:pPr>
            <w:r>
              <w:rPr>
                <w:rFonts w:ascii="Garamond" w:hAnsi="Garamond"/>
                <w:sz w:val="22"/>
                <w:szCs w:val="22"/>
              </w:rPr>
              <w:t>Central message is clear and consistent with the supporting material.</w:t>
            </w:r>
          </w:p>
        </w:tc>
        <w:tc>
          <w:tcPr>
            <w:tcW w:w="3745" w:type="dxa"/>
            <w:tcBorders>
              <w:left w:val="single" w:sz="2" w:space="0" w:color="000000"/>
              <w:bottom w:val="single" w:sz="2" w:space="0" w:color="000000"/>
            </w:tcBorders>
            <w:tcMar>
              <w:top w:w="55" w:type="dxa"/>
              <w:left w:w="55" w:type="dxa"/>
              <w:bottom w:w="55" w:type="dxa"/>
              <w:right w:w="55" w:type="dxa"/>
            </w:tcMar>
          </w:tcPr>
          <w:p w14:paraId="67E6CA6B" w14:textId="77777777" w:rsidR="000A0A55" w:rsidRDefault="000A0A55" w:rsidP="00435328">
            <w:pPr>
              <w:pStyle w:val="Standard"/>
              <w:rPr>
                <w:rFonts w:ascii="Garamond" w:hAnsi="Garamond"/>
                <w:sz w:val="22"/>
                <w:szCs w:val="22"/>
              </w:rPr>
            </w:pPr>
            <w:r>
              <w:rPr>
                <w:rFonts w:ascii="Garamond" w:hAnsi="Garamond"/>
                <w:sz w:val="22"/>
                <w:szCs w:val="22"/>
              </w:rPr>
              <w:t>Central message is basically understandable but is not often repeated and is not memorable.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F04B88" w14:textId="77777777" w:rsidR="000A0A55" w:rsidRDefault="000A0A55" w:rsidP="00435328">
            <w:pPr>
              <w:pStyle w:val="Standard"/>
              <w:rPr>
                <w:rFonts w:ascii="Garamond" w:hAnsi="Garamond"/>
                <w:sz w:val="22"/>
                <w:szCs w:val="22"/>
              </w:rPr>
            </w:pPr>
            <w:r>
              <w:rPr>
                <w:rFonts w:ascii="Garamond" w:hAnsi="Garamond"/>
                <w:sz w:val="22"/>
                <w:szCs w:val="22"/>
              </w:rPr>
              <w:t>Central message can be deduced, but is not explicitly stated in the presentation.</w:t>
            </w:r>
          </w:p>
        </w:tc>
      </w:tr>
    </w:tbl>
    <w:p w14:paraId="6FB24D5D" w14:textId="77777777" w:rsidR="000A0A55" w:rsidRDefault="000A0A55" w:rsidP="000A0A55">
      <w:pPr>
        <w:rPr>
          <w:sz w:val="22"/>
        </w:rPr>
      </w:pPr>
    </w:p>
    <w:p w14:paraId="16DB6730" w14:textId="77777777" w:rsidR="00452402" w:rsidRDefault="00452402"/>
    <w:p w14:paraId="58B4DA19" w14:textId="77777777" w:rsidR="003A727A" w:rsidRDefault="003A727A"/>
    <w:p w14:paraId="2D1FD543" w14:textId="77777777" w:rsidR="003A727A" w:rsidRDefault="003A727A"/>
    <w:p w14:paraId="39453F8F" w14:textId="77777777" w:rsidR="003A727A" w:rsidRDefault="003A727A"/>
    <w:p w14:paraId="30A43115" w14:textId="77777777" w:rsidR="003A727A" w:rsidRDefault="003A727A"/>
    <w:p w14:paraId="25FBCE31" w14:textId="77777777" w:rsidR="003A727A" w:rsidRDefault="003A727A"/>
    <w:p w14:paraId="4822064A" w14:textId="77777777" w:rsidR="003A727A" w:rsidRDefault="003A727A"/>
    <w:p w14:paraId="159DDE28" w14:textId="4C16D3E1" w:rsidR="003A727A" w:rsidRDefault="003A727A" w:rsidP="003A727A">
      <w:pPr>
        <w:pStyle w:val="Standard"/>
        <w:rPr>
          <w:rFonts w:ascii="Garamond" w:hAnsi="Garamond"/>
        </w:rPr>
      </w:pPr>
      <w:r>
        <w:rPr>
          <w:rFonts w:ascii="Garamond" w:hAnsi="Garamond"/>
        </w:rPr>
        <w:t xml:space="preserve">Appendix </w:t>
      </w:r>
      <w:r w:rsidR="00435328">
        <w:rPr>
          <w:rFonts w:ascii="Garamond" w:hAnsi="Garamond"/>
          <w:lang w:val="en-US"/>
        </w:rPr>
        <w:t>C</w:t>
      </w:r>
      <w:r>
        <w:rPr>
          <w:rFonts w:ascii="Garamond" w:hAnsi="Garamond"/>
        </w:rPr>
        <w:t xml:space="preserve">. LEAP Critical Thinking Value Rubric. </w:t>
      </w:r>
    </w:p>
    <w:p w14:paraId="646062F2" w14:textId="77777777" w:rsidR="003A727A" w:rsidRDefault="003A727A" w:rsidP="003A727A">
      <w:pPr>
        <w:pStyle w:val="Standard"/>
        <w:rPr>
          <w:rFonts w:ascii="Garamond" w:hAnsi="Garamond"/>
        </w:rPr>
      </w:pPr>
    </w:p>
    <w:p w14:paraId="60C0C384" w14:textId="77777777" w:rsidR="003A727A" w:rsidRDefault="003A727A" w:rsidP="003A727A">
      <w:pPr>
        <w:pStyle w:val="Standard"/>
        <w:rPr>
          <w:rFonts w:ascii="Garamond" w:hAnsi="Garamond"/>
        </w:r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28DD0F33" w14:textId="77777777" w:rsidTr="00435328">
        <w:trPr>
          <w:trHeight w:val="311"/>
        </w:trPr>
        <w:tc>
          <w:tcPr>
            <w:tcW w:w="16704" w:type="dxa"/>
            <w:tcMar>
              <w:top w:w="0" w:type="dxa"/>
              <w:left w:w="0" w:type="dxa"/>
              <w:bottom w:w="0" w:type="dxa"/>
              <w:right w:w="0" w:type="dxa"/>
            </w:tcMar>
          </w:tcPr>
          <w:p w14:paraId="5E19847B" w14:textId="77777777" w:rsidR="003A727A" w:rsidRDefault="003A727A" w:rsidP="00435328">
            <w:pPr>
              <w:pStyle w:val="Standard"/>
              <w:snapToGrid w:val="0"/>
              <w:jc w:val="center"/>
              <w:rPr>
                <w:sz w:val="40"/>
                <w:szCs w:val="40"/>
              </w:rPr>
            </w:pPr>
            <w:r>
              <w:rPr>
                <w:rFonts w:ascii="Garamond" w:hAnsi="Garamond"/>
                <w:b/>
                <w:smallCaps/>
                <w:color w:val="000000"/>
                <w:sz w:val="40"/>
                <w:szCs w:val="40"/>
                <w:lang w:val="en-US"/>
              </w:rPr>
              <w:t>Critical Thinking</w:t>
            </w:r>
            <w:r>
              <w:rPr>
                <w:rFonts w:ascii="Garamond" w:hAnsi="Garamond"/>
                <w:b/>
                <w:smallCaps/>
                <w:color w:val="000000"/>
                <w:sz w:val="40"/>
                <w:szCs w:val="40"/>
              </w:rPr>
              <w:t xml:space="preserve"> VALUE Rubric</w:t>
            </w:r>
          </w:p>
          <w:p w14:paraId="13FC413F" w14:textId="77777777" w:rsidR="003A727A" w:rsidRDefault="003A727A" w:rsidP="00435328">
            <w:pPr>
              <w:pStyle w:val="Standard"/>
              <w:snapToGrid w:val="0"/>
              <w:jc w:val="center"/>
            </w:pPr>
            <w:r>
              <w:rPr>
                <w:rFonts w:ascii="Garamond" w:eastAsia="Helvetica" w:hAnsi="Garamond" w:cs="Helvetica"/>
                <w:i/>
                <w:lang w:val="en-US"/>
              </w:rPr>
              <w:t>f</w:t>
            </w:r>
            <w:r>
              <w:rPr>
                <w:rFonts w:ascii="Garamond" w:eastAsia="Helvetica" w:hAnsi="Garamond" w:cs="Helvetica"/>
                <w:i/>
              </w:rPr>
              <w:t>or more information</w:t>
            </w:r>
            <w:r>
              <w:rPr>
                <w:rFonts w:ascii="Garamond" w:eastAsia="Helvetica" w:hAnsi="Garamond" w:cs="Helvetica"/>
                <w:i/>
                <w:lang w:val="en-US"/>
              </w:rPr>
              <w:t xml:space="preserve">, </w:t>
            </w:r>
            <w:r>
              <w:rPr>
                <w:rFonts w:ascii="Garamond" w:eastAsia="Helvetica" w:hAnsi="Garamond" w:cs="Helvetica"/>
                <w:i/>
              </w:rPr>
              <w:t xml:space="preserve">please </w:t>
            </w:r>
            <w:r>
              <w:rPr>
                <w:rFonts w:ascii="Garamond" w:eastAsia="Helvetica" w:hAnsi="Garamond" w:cs="Helvetica"/>
                <w:i/>
                <w:lang w:val="en-US"/>
              </w:rPr>
              <w:t>contact value</w:t>
            </w:r>
            <w:r>
              <w:rPr>
                <w:rFonts w:ascii="Garamond" w:eastAsia="Helvetica" w:hAnsi="Garamond" w:cs="Helvetica"/>
                <w:i/>
              </w:rPr>
              <w:t>@</w:t>
            </w:r>
            <w:r>
              <w:rPr>
                <w:rFonts w:ascii="Garamond" w:eastAsia="Helvetica" w:hAnsi="Garamond" w:cs="Helvetica"/>
                <w:i/>
                <w:lang w:val="en-US"/>
              </w:rPr>
              <w:t>aacu.org</w:t>
            </w:r>
          </w:p>
        </w:tc>
        <w:tc>
          <w:tcPr>
            <w:tcW w:w="1882" w:type="dxa"/>
            <w:tcMar>
              <w:top w:w="0" w:type="dxa"/>
              <w:left w:w="0" w:type="dxa"/>
              <w:bottom w:w="0" w:type="dxa"/>
              <w:right w:w="0" w:type="dxa"/>
            </w:tcMar>
          </w:tcPr>
          <w:p w14:paraId="4F5FCA34"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0"/>
                <w:szCs w:val="20"/>
              </w:rPr>
            </w:pPr>
            <w:r>
              <w:rPr>
                <w:rFonts w:ascii="Garamond" w:hAnsi="Garamond"/>
                <w:noProof/>
                <w:sz w:val="20"/>
                <w:szCs w:val="20"/>
                <w:lang w:val="en-US"/>
              </w:rPr>
              <w:drawing>
                <wp:inline distT="0" distB="0" distL="0" distR="0" wp14:anchorId="5709515C" wp14:editId="1B831549">
                  <wp:extent cx="1143000" cy="596900"/>
                  <wp:effectExtent l="2540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14:paraId="439CD6FE" w14:textId="77777777" w:rsidR="003A727A" w:rsidRDefault="003A727A" w:rsidP="003A727A">
      <w:pPr>
        <w:pStyle w:val="Standard"/>
        <w:rPr>
          <w:rFonts w:ascii="Garamond" w:hAnsi="Garamond"/>
        </w:rPr>
      </w:pPr>
    </w:p>
    <w:p w14:paraId="72F0A257" w14:textId="77777777" w:rsidR="003A727A" w:rsidRDefault="003A727A" w:rsidP="003A727A">
      <w:pPr>
        <w:pStyle w:val="Standard"/>
        <w:rPr>
          <w:rFonts w:ascii="Garamond" w:hAnsi="Garamond"/>
        </w:rPr>
      </w:pPr>
      <w:r>
        <w:rPr>
          <w:rFonts w:ascii="Garamond" w:hAnsi="Garamond"/>
        </w:rPr>
        <w:tab/>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1490DC2B" w14:textId="77777777" w:rsidR="003A727A" w:rsidRDefault="003A727A" w:rsidP="003A727A">
      <w:pPr>
        <w:pStyle w:val="Standard"/>
        <w:rPr>
          <w:rFonts w:ascii="Garamond" w:hAnsi="Garamond"/>
        </w:rPr>
      </w:pPr>
    </w:p>
    <w:p w14:paraId="145B1B24" w14:textId="77777777" w:rsidR="003A727A" w:rsidRDefault="003A727A" w:rsidP="003A727A">
      <w:pPr>
        <w:pStyle w:val="Standard"/>
        <w:jc w:val="center"/>
        <w:rPr>
          <w:rFonts w:ascii="Garamond" w:hAnsi="Garamond"/>
          <w:b/>
          <w:bCs/>
        </w:rPr>
      </w:pPr>
      <w:r>
        <w:rPr>
          <w:rFonts w:ascii="Garamond" w:hAnsi="Garamond"/>
          <w:b/>
          <w:bCs/>
        </w:rPr>
        <w:t>Definition</w:t>
      </w:r>
    </w:p>
    <w:p w14:paraId="062CEC6E" w14:textId="77777777" w:rsidR="003A727A" w:rsidRDefault="003A727A" w:rsidP="003A727A">
      <w:pPr>
        <w:pStyle w:val="Standard"/>
        <w:rPr>
          <w:rFonts w:ascii="Garamond" w:hAnsi="Garamond"/>
        </w:rPr>
      </w:pPr>
      <w:r>
        <w:rPr>
          <w:rFonts w:ascii="Garamond" w:hAnsi="Garamond"/>
        </w:rPr>
        <w:tab/>
        <w:t>Critical thinking is a habit of mind characterized by the comprehensive exploration of issues, ideas, artifacts, and events before accepting or formulating an opinion or conclusion.</w:t>
      </w:r>
    </w:p>
    <w:p w14:paraId="0476DBDB" w14:textId="77777777" w:rsidR="003A727A" w:rsidRDefault="003A727A" w:rsidP="003A727A">
      <w:pPr>
        <w:pStyle w:val="Standard"/>
        <w:rPr>
          <w:rFonts w:ascii="Garamond" w:hAnsi="Garamond"/>
        </w:rPr>
      </w:pPr>
    </w:p>
    <w:p w14:paraId="5EDD1442" w14:textId="77777777" w:rsidR="003A727A" w:rsidRDefault="003A727A" w:rsidP="003A727A">
      <w:pPr>
        <w:pStyle w:val="Standard"/>
        <w:jc w:val="center"/>
        <w:rPr>
          <w:rFonts w:ascii="Garamond" w:hAnsi="Garamond"/>
          <w:b/>
          <w:bCs/>
        </w:rPr>
      </w:pPr>
      <w:r>
        <w:rPr>
          <w:rFonts w:ascii="Garamond" w:hAnsi="Garamond"/>
          <w:b/>
          <w:bCs/>
        </w:rPr>
        <w:t>Framing Language</w:t>
      </w:r>
    </w:p>
    <w:p w14:paraId="625F0E8D" w14:textId="77777777" w:rsidR="003A727A" w:rsidRDefault="003A727A" w:rsidP="003A727A">
      <w:pPr>
        <w:pStyle w:val="Standard"/>
        <w:rPr>
          <w:rFonts w:ascii="Garamond" w:hAnsi="Garamond"/>
        </w:rPr>
      </w:pPr>
      <w:r>
        <w:rPr>
          <w:rFonts w:ascii="Garamond" w:hAnsi="Garamond"/>
        </w:rPr>
        <w:tab/>
        <w:t>This rubric is designed to be transdisciplinary, reflecting the recognition that success in all disciplines requires habits of inquiry and analysis that share common attributes.  Further, research suggests that successful critical thinkers from all disciplines increasingly need to be able to apply those habits in various and changing situations encountered in all walks of life.</w:t>
      </w:r>
    </w:p>
    <w:p w14:paraId="73BE2A9C" w14:textId="77777777" w:rsidR="003A727A" w:rsidRDefault="003A727A" w:rsidP="003A727A">
      <w:pPr>
        <w:pStyle w:val="Standard"/>
        <w:rPr>
          <w:rFonts w:ascii="Garamond" w:hAnsi="Garamond"/>
        </w:rPr>
      </w:pPr>
      <w:r>
        <w:rPr>
          <w:rFonts w:ascii="Garamond" w:hAnsi="Garamond"/>
        </w:rPr>
        <w:tab/>
        <w:t>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 </w:t>
      </w:r>
    </w:p>
    <w:p w14:paraId="61759862" w14:textId="77777777" w:rsidR="003A727A" w:rsidRDefault="003A727A" w:rsidP="003A727A">
      <w:pPr>
        <w:pStyle w:val="Standard"/>
        <w:rPr>
          <w:rFonts w:ascii="Garamond" w:hAnsi="Garamond"/>
        </w:rPr>
      </w:pPr>
    </w:p>
    <w:p w14:paraId="7763CF39" w14:textId="77777777" w:rsidR="003A727A" w:rsidRDefault="003A727A" w:rsidP="003A727A">
      <w:pPr>
        <w:pStyle w:val="Standard"/>
        <w:jc w:val="center"/>
        <w:rPr>
          <w:rFonts w:ascii="Garamond" w:hAnsi="Garamond"/>
          <w:b/>
          <w:bCs/>
        </w:rPr>
      </w:pPr>
      <w:r>
        <w:rPr>
          <w:rFonts w:ascii="Garamond" w:hAnsi="Garamond"/>
          <w:b/>
          <w:bCs/>
        </w:rPr>
        <w:t>Glossary</w:t>
      </w:r>
    </w:p>
    <w:p w14:paraId="4B11C5ED" w14:textId="77777777" w:rsidR="003A727A" w:rsidRDefault="003A727A" w:rsidP="003A727A">
      <w:pPr>
        <w:pStyle w:val="Standard"/>
        <w:jc w:val="center"/>
        <w:rPr>
          <w:rFonts w:ascii="Garamond" w:hAnsi="Garamond"/>
          <w:i/>
          <w:iCs/>
        </w:rPr>
      </w:pPr>
      <w:r>
        <w:rPr>
          <w:rFonts w:ascii="Garamond" w:hAnsi="Garamond"/>
          <w:i/>
          <w:iCs/>
        </w:rPr>
        <w:t>The definitions that follow were developed to clarify terms and concepts used in this rubric only.</w:t>
      </w:r>
    </w:p>
    <w:p w14:paraId="03E2F7A2" w14:textId="77777777" w:rsidR="003A727A" w:rsidRDefault="003A727A" w:rsidP="003A727A">
      <w:pPr>
        <w:pStyle w:val="Standard"/>
        <w:numPr>
          <w:ilvl w:val="0"/>
          <w:numId w:val="13"/>
        </w:numPr>
        <w:rPr>
          <w:rFonts w:ascii="Garamond" w:hAnsi="Garamond"/>
        </w:rPr>
      </w:pPr>
      <w:r>
        <w:rPr>
          <w:rFonts w:ascii="Garamond" w:hAnsi="Garamond"/>
        </w:rPr>
        <w:t>Ambiguity:  Information that may be interpreted in more than one way.</w:t>
      </w:r>
    </w:p>
    <w:p w14:paraId="3542AFDC" w14:textId="77777777" w:rsidR="003A727A" w:rsidRDefault="003A727A" w:rsidP="003A727A">
      <w:pPr>
        <w:pStyle w:val="Standard"/>
        <w:numPr>
          <w:ilvl w:val="0"/>
          <w:numId w:val="13"/>
        </w:numPr>
        <w:rPr>
          <w:rFonts w:ascii="Garamond" w:hAnsi="Garamond"/>
        </w:rPr>
      </w:pPr>
      <w:r>
        <w:rPr>
          <w:rFonts w:ascii="Garamond" w:hAnsi="Garamond"/>
        </w:rPr>
        <w:t xml:space="preserve">Assumptions:  Ideas, conditions, or beliefs (often implicit or unstated) that are "taken for granted or accepted as true without proof." (quoted from </w:t>
      </w:r>
      <w:r>
        <w:rPr>
          <w:rFonts w:ascii="Garamond" w:hAnsi="Garamond"/>
          <w:lang w:val="en-US"/>
        </w:rPr>
        <w:t>www.</w:t>
      </w:r>
      <w:r>
        <w:rPr>
          <w:rFonts w:ascii="Garamond" w:hAnsi="Garamond"/>
        </w:rPr>
        <w:t>dictionary.reference.com/browse/assumptions)</w:t>
      </w:r>
    </w:p>
    <w:p w14:paraId="5A6152A1" w14:textId="77777777" w:rsidR="003A727A" w:rsidRDefault="003A727A" w:rsidP="003A727A">
      <w:pPr>
        <w:pStyle w:val="Standard"/>
        <w:numPr>
          <w:ilvl w:val="0"/>
          <w:numId w:val="13"/>
        </w:numPr>
        <w:rPr>
          <w:rFonts w:ascii="Garamond" w:hAnsi="Garamond"/>
        </w:rPr>
      </w:pPr>
      <w:r>
        <w:rPr>
          <w:rFonts w:ascii="Garamond" w:hAnsi="Garamond"/>
        </w:rPr>
        <w:lastRenderedPageBreak/>
        <w:t>Context:  The historical, ethical. political, cultural, environmental, or circumstantial settings or conditions that influence and complicate the consideration of any issues, ideas, artifacts, and events.</w:t>
      </w:r>
    </w:p>
    <w:p w14:paraId="62ABBDCF" w14:textId="77777777" w:rsidR="003A727A" w:rsidRDefault="003A727A" w:rsidP="003A727A">
      <w:pPr>
        <w:pStyle w:val="Standard"/>
        <w:numPr>
          <w:ilvl w:val="0"/>
          <w:numId w:val="13"/>
        </w:numPr>
        <w:rPr>
          <w:rFonts w:ascii="Garamond" w:hAnsi="Garamond"/>
        </w:rPr>
      </w:pPr>
      <w:r>
        <w:rPr>
          <w:rFonts w:ascii="Garamond" w:hAnsi="Garamond"/>
        </w:rPr>
        <w:t>Literal meaning:  Interpretation of information exactly as stated.  For example, "she was green with envy" would be interpreted to mean that her skin was green.</w:t>
      </w:r>
    </w:p>
    <w:p w14:paraId="719D8770" w14:textId="77777777" w:rsidR="003A727A" w:rsidRDefault="003A727A" w:rsidP="003A727A">
      <w:pPr>
        <w:pStyle w:val="Standard"/>
        <w:numPr>
          <w:ilvl w:val="0"/>
          <w:numId w:val="13"/>
        </w:numPr>
        <w:rPr>
          <w:rFonts w:ascii="Garamond" w:hAnsi="Garamond"/>
        </w:rPr>
      </w:pPr>
      <w:r>
        <w:rPr>
          <w:rFonts w:ascii="Garamond" w:hAnsi="Garamond"/>
        </w:rPr>
        <w:t>Metaphor:  Information that is (intended to be) interpreted in a non-literal way.  For example, "she was green with envy" is intended to convey an intensity of emotion, not a skin color.</w:t>
      </w:r>
    </w:p>
    <w:p w14:paraId="4361BA57" w14:textId="77777777" w:rsidR="003A727A" w:rsidRDefault="003A727A" w:rsidP="003A727A">
      <w:pPr>
        <w:pStyle w:val="Standard"/>
        <w:jc w:val="center"/>
        <w:rPr>
          <w:rFonts w:ascii="Garamond, serif" w:hAnsi="Garamond, serif"/>
          <w:i/>
          <w:iCs/>
          <w:sz w:val="21"/>
          <w:szCs w:val="21"/>
        </w:rPr>
        <w:sectPr w:rsidR="003A727A" w:rsidSect="003A727A">
          <w:pgSz w:w="20163" w:h="12240" w:orient="landscape"/>
          <w:pgMar w:top="720" w:right="720" w:bottom="720" w:left="720" w:header="720" w:footer="720" w:gutter="0"/>
          <w:cols w:space="720"/>
          <w:titlePg/>
        </w:sect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004CC76C" w14:textId="77777777" w:rsidTr="00435328">
        <w:trPr>
          <w:trHeight w:val="311"/>
        </w:trPr>
        <w:tc>
          <w:tcPr>
            <w:tcW w:w="16704" w:type="dxa"/>
            <w:tcMar>
              <w:top w:w="0" w:type="dxa"/>
              <w:left w:w="0" w:type="dxa"/>
              <w:bottom w:w="0" w:type="dxa"/>
              <w:right w:w="0" w:type="dxa"/>
            </w:tcMar>
          </w:tcPr>
          <w:p w14:paraId="17366FC1" w14:textId="77777777" w:rsidR="003A727A" w:rsidRDefault="003A727A" w:rsidP="00435328">
            <w:pPr>
              <w:pStyle w:val="Standard"/>
              <w:snapToGrid w:val="0"/>
              <w:jc w:val="center"/>
              <w:rPr>
                <w:sz w:val="40"/>
                <w:szCs w:val="40"/>
              </w:rPr>
            </w:pPr>
            <w:r>
              <w:rPr>
                <w:rFonts w:ascii="Garamond" w:hAnsi="Garamond"/>
                <w:b/>
                <w:smallCaps/>
                <w:color w:val="000000"/>
                <w:sz w:val="40"/>
                <w:szCs w:val="40"/>
                <w:lang w:val="en-US"/>
              </w:rPr>
              <w:lastRenderedPageBreak/>
              <w:t>Critical Thinking</w:t>
            </w:r>
            <w:r>
              <w:rPr>
                <w:rFonts w:ascii="Garamond" w:hAnsi="Garamond"/>
                <w:b/>
                <w:smallCaps/>
                <w:color w:val="000000"/>
                <w:sz w:val="40"/>
                <w:szCs w:val="40"/>
              </w:rPr>
              <w:t xml:space="preserve"> VALUE Rubric</w:t>
            </w:r>
          </w:p>
          <w:p w14:paraId="1E69F1EB" w14:textId="77777777" w:rsidR="003A727A" w:rsidRDefault="003A727A" w:rsidP="00435328">
            <w:pPr>
              <w:pStyle w:val="Standard"/>
              <w:snapToGrid w:val="0"/>
              <w:jc w:val="center"/>
              <w:rPr>
                <w:sz w:val="21"/>
                <w:szCs w:val="21"/>
              </w:rPr>
            </w:pPr>
            <w:r>
              <w:rPr>
                <w:rFonts w:ascii="Garamond" w:eastAsia="Helvetica" w:hAnsi="Garamond" w:cs="Helvetica"/>
                <w:i/>
                <w:sz w:val="21"/>
                <w:szCs w:val="21"/>
                <w:lang w:val="en-US"/>
              </w:rPr>
              <w:t>f</w:t>
            </w:r>
            <w:r>
              <w:rPr>
                <w:rFonts w:ascii="Garamond" w:eastAsia="Helvetica" w:hAnsi="Garamond" w:cs="Helvetica"/>
                <w:i/>
                <w:sz w:val="21"/>
                <w:szCs w:val="21"/>
              </w:rPr>
              <w:t>or more information</w:t>
            </w:r>
            <w:r>
              <w:rPr>
                <w:rFonts w:ascii="Garamond" w:eastAsia="Helvetica" w:hAnsi="Garamond" w:cs="Helvetica"/>
                <w:i/>
                <w:sz w:val="21"/>
                <w:szCs w:val="21"/>
                <w:lang w:val="en-US"/>
              </w:rPr>
              <w:t xml:space="preserve">, </w:t>
            </w:r>
            <w:r>
              <w:rPr>
                <w:rFonts w:ascii="Garamond" w:eastAsia="Helvetica" w:hAnsi="Garamond" w:cs="Helvetica"/>
                <w:i/>
                <w:sz w:val="21"/>
                <w:szCs w:val="21"/>
              </w:rPr>
              <w:t xml:space="preserve">please </w:t>
            </w:r>
            <w:r>
              <w:rPr>
                <w:rFonts w:ascii="Garamond" w:eastAsia="Helvetica" w:hAnsi="Garamond" w:cs="Helvetica"/>
                <w:i/>
                <w:sz w:val="21"/>
                <w:szCs w:val="21"/>
                <w:lang w:val="en-US"/>
              </w:rPr>
              <w:t>contact value</w:t>
            </w:r>
            <w:r>
              <w:rPr>
                <w:rFonts w:ascii="Garamond" w:eastAsia="Helvetica" w:hAnsi="Garamond" w:cs="Helvetica"/>
                <w:i/>
                <w:sz w:val="21"/>
                <w:szCs w:val="21"/>
              </w:rPr>
              <w:t>@</w:t>
            </w:r>
            <w:r>
              <w:rPr>
                <w:rFonts w:ascii="Garamond" w:eastAsia="Helvetica" w:hAnsi="Garamond" w:cs="Helvetica"/>
                <w:i/>
                <w:sz w:val="21"/>
                <w:szCs w:val="21"/>
                <w:lang w:val="en-US"/>
              </w:rPr>
              <w:t>aacu.org</w:t>
            </w:r>
          </w:p>
        </w:tc>
        <w:tc>
          <w:tcPr>
            <w:tcW w:w="1882" w:type="dxa"/>
            <w:tcMar>
              <w:top w:w="0" w:type="dxa"/>
              <w:left w:w="0" w:type="dxa"/>
              <w:bottom w:w="0" w:type="dxa"/>
              <w:right w:w="0" w:type="dxa"/>
            </w:tcMar>
          </w:tcPr>
          <w:p w14:paraId="61727DB1"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1"/>
                <w:szCs w:val="21"/>
              </w:rPr>
            </w:pPr>
            <w:r>
              <w:rPr>
                <w:rFonts w:ascii="Garamond" w:hAnsi="Garamond"/>
                <w:noProof/>
                <w:sz w:val="21"/>
                <w:szCs w:val="21"/>
                <w:lang w:val="en-US"/>
              </w:rPr>
              <w:drawing>
                <wp:inline distT="0" distB="0" distL="0" distR="0" wp14:anchorId="0ED4435A" wp14:editId="00287F28">
                  <wp:extent cx="1143000" cy="596900"/>
                  <wp:effectExtent l="2540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14:paraId="1C8B1EBA" w14:textId="77777777" w:rsidR="003A727A" w:rsidRDefault="003A727A" w:rsidP="003A727A">
      <w:pPr>
        <w:pStyle w:val="Standard"/>
        <w:jc w:val="center"/>
        <w:rPr>
          <w:rFonts w:ascii="Garamond" w:hAnsi="Garamond"/>
          <w:b/>
          <w:bCs/>
          <w:sz w:val="21"/>
          <w:szCs w:val="21"/>
        </w:rPr>
      </w:pPr>
      <w:r>
        <w:rPr>
          <w:rFonts w:ascii="Garamond" w:hAnsi="Garamond"/>
          <w:b/>
          <w:bCs/>
          <w:sz w:val="21"/>
          <w:szCs w:val="21"/>
        </w:rPr>
        <w:t>Definition</w:t>
      </w:r>
    </w:p>
    <w:p w14:paraId="20268AA8" w14:textId="77777777" w:rsidR="003A727A" w:rsidRDefault="003A727A" w:rsidP="003A727A">
      <w:pPr>
        <w:pStyle w:val="Standard"/>
        <w:rPr>
          <w:rFonts w:ascii="Garamond" w:hAnsi="Garamond"/>
          <w:sz w:val="21"/>
          <w:szCs w:val="21"/>
        </w:rPr>
      </w:pPr>
      <w:r>
        <w:rPr>
          <w:rFonts w:ascii="Garamond" w:hAnsi="Garamond"/>
          <w:sz w:val="21"/>
          <w:szCs w:val="21"/>
        </w:rPr>
        <w:tab/>
        <w:t>Critical thinking is a habit of mind characterized by the comprehensive exploration of issues, ideas, artifacts, and events before accepting or formulating an opinion or conclusion.</w:t>
      </w:r>
    </w:p>
    <w:p w14:paraId="01A22308" w14:textId="77777777" w:rsidR="003A727A" w:rsidRDefault="003A727A" w:rsidP="003A727A">
      <w:pPr>
        <w:pStyle w:val="Standard"/>
        <w:jc w:val="center"/>
        <w:rPr>
          <w:rFonts w:ascii="Garamond" w:hAnsi="Garamond"/>
          <w:i/>
          <w:iCs/>
          <w:sz w:val="21"/>
          <w:szCs w:val="21"/>
        </w:rPr>
      </w:pPr>
      <w:r>
        <w:rPr>
          <w:rFonts w:ascii="Garamond, serif" w:hAnsi="Garamond, serif"/>
          <w:i/>
          <w:iCs/>
          <w:sz w:val="21"/>
          <w:szCs w:val="21"/>
        </w:rPr>
        <w:t>Ev</w:t>
      </w:r>
      <w:r>
        <w:rPr>
          <w:rFonts w:ascii="Garamond" w:hAnsi="Garamond"/>
          <w:i/>
          <w:iCs/>
          <w:sz w:val="21"/>
          <w:szCs w:val="21"/>
        </w:rPr>
        <w:t>aluators are encouraged to assign a zero to any work sample or collection of work that does not meet benchmark (cell one) level performance.</w:t>
      </w:r>
    </w:p>
    <w:p w14:paraId="44268EC5" w14:textId="77777777" w:rsidR="003A727A" w:rsidRDefault="003A727A" w:rsidP="003A727A">
      <w:pPr>
        <w:pStyle w:val="Standard"/>
        <w:jc w:val="center"/>
        <w:rPr>
          <w:rFonts w:ascii="Garamond" w:hAnsi="Garamond"/>
          <w:sz w:val="21"/>
          <w:szCs w:val="21"/>
        </w:rPr>
      </w:pPr>
    </w:p>
    <w:tbl>
      <w:tblPr>
        <w:tblW w:w="18723" w:type="dxa"/>
        <w:tblInd w:w="45" w:type="dxa"/>
        <w:tblLayout w:type="fixed"/>
        <w:tblCellMar>
          <w:left w:w="10" w:type="dxa"/>
          <w:right w:w="10" w:type="dxa"/>
        </w:tblCellMar>
        <w:tblLook w:val="0000" w:firstRow="0" w:lastRow="0" w:firstColumn="0" w:lastColumn="0" w:noHBand="0" w:noVBand="0"/>
      </w:tblPr>
      <w:tblGrid>
        <w:gridCol w:w="3743"/>
        <w:gridCol w:w="3745"/>
        <w:gridCol w:w="3744"/>
        <w:gridCol w:w="3745"/>
        <w:gridCol w:w="3746"/>
      </w:tblGrid>
      <w:tr w:rsidR="003A727A" w14:paraId="74D71BFB" w14:textId="77777777" w:rsidTr="00435328">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1640037F" w14:textId="77777777" w:rsidR="003A727A" w:rsidRDefault="003A727A" w:rsidP="00435328">
            <w:pPr>
              <w:pStyle w:val="Textbody"/>
              <w:jc w:val="center"/>
              <w:rPr>
                <w:rFonts w:ascii="Garamond" w:hAnsi="Garamond"/>
                <w:b/>
                <w:bCs/>
                <w:sz w:val="21"/>
                <w:szCs w:val="21"/>
              </w:rPr>
            </w:pPr>
          </w:p>
        </w:tc>
        <w:tc>
          <w:tcPr>
            <w:tcW w:w="3745" w:type="dxa"/>
            <w:tcBorders>
              <w:top w:val="single" w:sz="2" w:space="0" w:color="000000"/>
              <w:left w:val="single" w:sz="2" w:space="0" w:color="000000"/>
              <w:bottom w:val="single" w:sz="2" w:space="0" w:color="000000"/>
            </w:tcBorders>
            <w:tcMar>
              <w:top w:w="55" w:type="dxa"/>
              <w:left w:w="55" w:type="dxa"/>
              <w:bottom w:w="55" w:type="dxa"/>
              <w:right w:w="55" w:type="dxa"/>
            </w:tcMar>
          </w:tcPr>
          <w:p w14:paraId="30D2DB9B" w14:textId="77777777" w:rsidR="003A727A" w:rsidRDefault="003A727A" w:rsidP="00435328">
            <w:pPr>
              <w:pStyle w:val="Textbody"/>
              <w:jc w:val="center"/>
              <w:rPr>
                <w:rFonts w:ascii="Garamond" w:hAnsi="Garamond"/>
                <w:b/>
                <w:bCs/>
                <w:sz w:val="21"/>
                <w:szCs w:val="21"/>
              </w:rPr>
            </w:pPr>
            <w:r>
              <w:rPr>
                <w:rFonts w:ascii="Garamond" w:hAnsi="Garamond"/>
                <w:b/>
                <w:bCs/>
                <w:sz w:val="21"/>
                <w:szCs w:val="21"/>
              </w:rPr>
              <w:t>Capstone</w:t>
            </w:r>
          </w:p>
          <w:p w14:paraId="243F9331" w14:textId="77777777" w:rsidR="003A727A" w:rsidRDefault="003A727A" w:rsidP="00435328">
            <w:pPr>
              <w:pStyle w:val="Textbody"/>
              <w:jc w:val="center"/>
              <w:rPr>
                <w:rFonts w:ascii="Garamond" w:hAnsi="Garamond"/>
                <w:sz w:val="21"/>
                <w:szCs w:val="21"/>
              </w:rPr>
            </w:pPr>
            <w:r>
              <w:rPr>
                <w:rFonts w:ascii="Garamond" w:hAnsi="Garamond"/>
                <w:sz w:val="21"/>
                <w:szCs w:val="21"/>
              </w:rPr>
              <w:t>4</w:t>
            </w:r>
          </w:p>
        </w:tc>
        <w:tc>
          <w:tcPr>
            <w:tcW w:w="748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5FE7606" w14:textId="77777777" w:rsidR="003A727A" w:rsidRDefault="003A727A" w:rsidP="00435328">
            <w:pPr>
              <w:pStyle w:val="Textbody"/>
              <w:jc w:val="center"/>
              <w:rPr>
                <w:rFonts w:ascii="Garamond" w:hAnsi="Garamond"/>
                <w:b/>
                <w:bCs/>
                <w:sz w:val="21"/>
                <w:szCs w:val="21"/>
              </w:rPr>
            </w:pPr>
            <w:r>
              <w:rPr>
                <w:rFonts w:ascii="Garamond" w:hAnsi="Garamond"/>
                <w:b/>
                <w:bCs/>
                <w:sz w:val="21"/>
                <w:szCs w:val="21"/>
              </w:rPr>
              <w:t>Milestones</w:t>
            </w:r>
          </w:p>
          <w:p w14:paraId="7E0298FF" w14:textId="77777777" w:rsidR="003A727A" w:rsidRDefault="003A727A" w:rsidP="00435328">
            <w:pPr>
              <w:pStyle w:val="Textbody"/>
              <w:jc w:val="center"/>
              <w:rPr>
                <w:rFonts w:ascii="Garamond" w:hAnsi="Garamond"/>
                <w:sz w:val="21"/>
                <w:szCs w:val="21"/>
              </w:rPr>
            </w:pPr>
            <w:r>
              <w:rPr>
                <w:rFonts w:ascii="Garamond" w:hAnsi="Garamond"/>
                <w:sz w:val="21"/>
                <w:szCs w:val="21"/>
              </w:rPr>
              <w:t>3</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2</w:t>
            </w:r>
          </w:p>
        </w:tc>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B46027" w14:textId="77777777" w:rsidR="003A727A" w:rsidRDefault="003A727A" w:rsidP="00435328">
            <w:pPr>
              <w:pStyle w:val="Textbody"/>
              <w:jc w:val="center"/>
              <w:rPr>
                <w:rFonts w:ascii="Garamond" w:hAnsi="Garamond"/>
                <w:b/>
                <w:bCs/>
                <w:sz w:val="21"/>
                <w:szCs w:val="21"/>
              </w:rPr>
            </w:pPr>
            <w:r>
              <w:rPr>
                <w:rFonts w:ascii="Garamond" w:hAnsi="Garamond"/>
                <w:b/>
                <w:bCs/>
                <w:sz w:val="21"/>
                <w:szCs w:val="21"/>
              </w:rPr>
              <w:t>Benchmark</w:t>
            </w:r>
          </w:p>
          <w:p w14:paraId="56D99933" w14:textId="77777777" w:rsidR="003A727A" w:rsidRDefault="003A727A" w:rsidP="00435328">
            <w:pPr>
              <w:pStyle w:val="Textbody"/>
              <w:jc w:val="center"/>
              <w:rPr>
                <w:rFonts w:ascii="Garamond" w:hAnsi="Garamond"/>
                <w:sz w:val="21"/>
                <w:szCs w:val="21"/>
              </w:rPr>
            </w:pPr>
            <w:r>
              <w:rPr>
                <w:rFonts w:ascii="Garamond" w:hAnsi="Garamond"/>
                <w:sz w:val="21"/>
                <w:szCs w:val="21"/>
              </w:rPr>
              <w:t>1</w:t>
            </w:r>
          </w:p>
        </w:tc>
      </w:tr>
      <w:tr w:rsidR="003A727A" w14:paraId="20A5C5C3"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7B595FF2" w14:textId="77777777" w:rsidR="003A727A" w:rsidRDefault="003A727A" w:rsidP="00435328">
            <w:pPr>
              <w:pStyle w:val="Standard"/>
              <w:rPr>
                <w:rFonts w:ascii="Garamond" w:hAnsi="Garamond"/>
                <w:b/>
                <w:bCs/>
                <w:sz w:val="21"/>
                <w:szCs w:val="21"/>
              </w:rPr>
            </w:pPr>
            <w:r>
              <w:rPr>
                <w:rFonts w:ascii="Garamond" w:hAnsi="Garamond"/>
                <w:b/>
                <w:bCs/>
                <w:sz w:val="21"/>
                <w:szCs w:val="21"/>
              </w:rPr>
              <w:t>Explanation of issues</w:t>
            </w:r>
          </w:p>
        </w:tc>
        <w:tc>
          <w:tcPr>
            <w:tcW w:w="3745" w:type="dxa"/>
            <w:tcBorders>
              <w:left w:val="single" w:sz="2" w:space="0" w:color="000000"/>
              <w:bottom w:val="single" w:sz="2" w:space="0" w:color="000000"/>
            </w:tcBorders>
            <w:tcMar>
              <w:top w:w="55" w:type="dxa"/>
              <w:left w:w="55" w:type="dxa"/>
              <w:bottom w:w="55" w:type="dxa"/>
              <w:right w:w="55" w:type="dxa"/>
            </w:tcMar>
          </w:tcPr>
          <w:p w14:paraId="2EC2B92E" w14:textId="77777777" w:rsidR="003A727A" w:rsidRDefault="003A727A" w:rsidP="00435328">
            <w:pPr>
              <w:pStyle w:val="Standard"/>
              <w:rPr>
                <w:rFonts w:ascii="Garamond" w:hAnsi="Garamond"/>
                <w:sz w:val="21"/>
                <w:szCs w:val="21"/>
              </w:rPr>
            </w:pPr>
            <w:r>
              <w:rPr>
                <w:rFonts w:ascii="Garamond" w:hAnsi="Garamond"/>
                <w:sz w:val="21"/>
                <w:szCs w:val="21"/>
              </w:rPr>
              <w:t>Issue/problem to be considered critically is stated clearly and described comprehensively, delivering all relevant information necessary for full understanding.</w:t>
            </w:r>
          </w:p>
        </w:tc>
        <w:tc>
          <w:tcPr>
            <w:tcW w:w="3744" w:type="dxa"/>
            <w:tcBorders>
              <w:left w:val="single" w:sz="2" w:space="0" w:color="000000"/>
              <w:bottom w:val="single" w:sz="2" w:space="0" w:color="000000"/>
            </w:tcBorders>
            <w:tcMar>
              <w:top w:w="55" w:type="dxa"/>
              <w:left w:w="55" w:type="dxa"/>
              <w:bottom w:w="55" w:type="dxa"/>
              <w:right w:w="55" w:type="dxa"/>
            </w:tcMar>
          </w:tcPr>
          <w:p w14:paraId="7F46F3B2" w14:textId="77777777" w:rsidR="003A727A" w:rsidRDefault="003A727A" w:rsidP="00435328">
            <w:pPr>
              <w:pStyle w:val="Standard"/>
              <w:rPr>
                <w:rFonts w:ascii="Garamond" w:hAnsi="Garamond"/>
                <w:sz w:val="21"/>
                <w:szCs w:val="21"/>
              </w:rPr>
            </w:pPr>
            <w:r>
              <w:rPr>
                <w:rFonts w:ascii="Garamond" w:hAnsi="Garamond"/>
                <w:sz w:val="21"/>
                <w:szCs w:val="21"/>
              </w:rPr>
              <w:t>Issue/problem to be considered critically is stated, described</w:t>
            </w:r>
            <w:r>
              <w:rPr>
                <w:rFonts w:ascii="Garamond" w:hAnsi="Garamond"/>
                <w:sz w:val="21"/>
                <w:szCs w:val="21"/>
                <w:lang w:val="en-US"/>
              </w:rPr>
              <w:t>,</w:t>
            </w:r>
            <w:r>
              <w:rPr>
                <w:rFonts w:ascii="Garamond" w:hAnsi="Garamond"/>
                <w:sz w:val="21"/>
                <w:szCs w:val="21"/>
              </w:rPr>
              <w:t xml:space="preserve"> and clarified so that understanding is not seriously impeded by omissions.</w:t>
            </w:r>
          </w:p>
        </w:tc>
        <w:tc>
          <w:tcPr>
            <w:tcW w:w="3745" w:type="dxa"/>
            <w:tcBorders>
              <w:left w:val="single" w:sz="2" w:space="0" w:color="000000"/>
              <w:bottom w:val="single" w:sz="2" w:space="0" w:color="000000"/>
            </w:tcBorders>
            <w:tcMar>
              <w:top w:w="55" w:type="dxa"/>
              <w:left w:w="55" w:type="dxa"/>
              <w:bottom w:w="55" w:type="dxa"/>
              <w:right w:w="55" w:type="dxa"/>
            </w:tcMar>
          </w:tcPr>
          <w:p w14:paraId="5FFFF9A2" w14:textId="77777777" w:rsidR="003A727A" w:rsidRDefault="003A727A" w:rsidP="00435328">
            <w:pPr>
              <w:pStyle w:val="Standard"/>
              <w:rPr>
                <w:rFonts w:ascii="Garamond" w:hAnsi="Garamond"/>
                <w:sz w:val="21"/>
                <w:szCs w:val="21"/>
              </w:rPr>
            </w:pPr>
            <w:r>
              <w:rPr>
                <w:rFonts w:ascii="Garamond" w:hAnsi="Garamond"/>
                <w:sz w:val="21"/>
                <w:szCs w:val="21"/>
              </w:rPr>
              <w:t>Issue/problem to be considered critically is stated but description leaves some terms undefined, ambiguities unexplored, boundaries undetermined, and/or backgrounds unknown.</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18B35C" w14:textId="77777777" w:rsidR="003A727A" w:rsidRDefault="003A727A" w:rsidP="00435328">
            <w:pPr>
              <w:pStyle w:val="Standard"/>
              <w:rPr>
                <w:rFonts w:ascii="Garamond" w:hAnsi="Garamond"/>
                <w:sz w:val="21"/>
                <w:szCs w:val="21"/>
              </w:rPr>
            </w:pPr>
            <w:r>
              <w:rPr>
                <w:rFonts w:ascii="Garamond" w:hAnsi="Garamond"/>
                <w:sz w:val="21"/>
                <w:szCs w:val="21"/>
              </w:rPr>
              <w:t>Issue/problem to be considered critically is stated without clarification or description.</w:t>
            </w:r>
          </w:p>
        </w:tc>
      </w:tr>
      <w:tr w:rsidR="003A727A" w14:paraId="2D0B3D7D"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12A08EB4" w14:textId="77777777" w:rsidR="003A727A" w:rsidRDefault="003A727A" w:rsidP="00435328">
            <w:pPr>
              <w:pStyle w:val="Standard"/>
              <w:rPr>
                <w:rFonts w:ascii="Garamond" w:hAnsi="Garamond"/>
                <w:b/>
                <w:bCs/>
                <w:sz w:val="21"/>
                <w:szCs w:val="21"/>
              </w:rPr>
            </w:pPr>
            <w:r>
              <w:rPr>
                <w:rFonts w:ascii="Garamond" w:hAnsi="Garamond"/>
                <w:b/>
                <w:bCs/>
                <w:sz w:val="21"/>
                <w:szCs w:val="21"/>
              </w:rPr>
              <w:t>Evidence</w:t>
            </w:r>
          </w:p>
          <w:p w14:paraId="348F4018" w14:textId="77777777" w:rsidR="003A727A" w:rsidRDefault="003A727A" w:rsidP="00435328">
            <w:pPr>
              <w:pStyle w:val="Standard"/>
              <w:rPr>
                <w:rFonts w:ascii="Garamond" w:hAnsi="Garamond"/>
                <w:i/>
                <w:iCs/>
                <w:sz w:val="21"/>
                <w:szCs w:val="21"/>
              </w:rPr>
            </w:pPr>
            <w:r>
              <w:rPr>
                <w:rFonts w:ascii="Garamond" w:hAnsi="Garamond"/>
                <w:i/>
                <w:iCs/>
                <w:sz w:val="21"/>
                <w:szCs w:val="21"/>
              </w:rPr>
              <w:t>Selecting and using information to investigate a point of view or conclusion</w:t>
            </w:r>
          </w:p>
        </w:tc>
        <w:tc>
          <w:tcPr>
            <w:tcW w:w="3745" w:type="dxa"/>
            <w:tcBorders>
              <w:left w:val="single" w:sz="2" w:space="0" w:color="000000"/>
              <w:bottom w:val="single" w:sz="2" w:space="0" w:color="000000"/>
            </w:tcBorders>
            <w:tcMar>
              <w:top w:w="55" w:type="dxa"/>
              <w:left w:w="55" w:type="dxa"/>
              <w:bottom w:w="55" w:type="dxa"/>
              <w:right w:w="55" w:type="dxa"/>
            </w:tcMar>
          </w:tcPr>
          <w:p w14:paraId="769AB51A" w14:textId="77777777" w:rsidR="003A727A" w:rsidRDefault="003A727A" w:rsidP="00435328">
            <w:pPr>
              <w:pStyle w:val="Standard"/>
              <w:rPr>
                <w:rFonts w:ascii="Garamond" w:hAnsi="Garamond"/>
                <w:sz w:val="21"/>
                <w:szCs w:val="21"/>
              </w:rPr>
            </w:pPr>
            <w:r>
              <w:rPr>
                <w:rFonts w:ascii="Garamond" w:hAnsi="Garamond"/>
                <w:sz w:val="21"/>
                <w:szCs w:val="21"/>
              </w:rPr>
              <w:t xml:space="preserve">Information is taken from source(s) with enough interpretation/evaluation to develop a comprehensive analysis or synthesis.  </w:t>
            </w:r>
          </w:p>
          <w:p w14:paraId="2822A53A" w14:textId="77777777" w:rsidR="003A727A" w:rsidRDefault="003A727A" w:rsidP="00435328">
            <w:pPr>
              <w:pStyle w:val="Standard"/>
              <w:rPr>
                <w:rFonts w:ascii="Garamond" w:hAnsi="Garamond"/>
                <w:sz w:val="21"/>
                <w:szCs w:val="21"/>
              </w:rPr>
            </w:pPr>
            <w:r>
              <w:rPr>
                <w:rFonts w:ascii="Garamond" w:hAnsi="Garamond"/>
                <w:sz w:val="21"/>
                <w:szCs w:val="21"/>
              </w:rPr>
              <w:t>Viewpoints of experts are questioned thoroughly.</w:t>
            </w:r>
          </w:p>
        </w:tc>
        <w:tc>
          <w:tcPr>
            <w:tcW w:w="3744" w:type="dxa"/>
            <w:tcBorders>
              <w:left w:val="single" w:sz="2" w:space="0" w:color="000000"/>
              <w:bottom w:val="single" w:sz="2" w:space="0" w:color="000000"/>
            </w:tcBorders>
            <w:tcMar>
              <w:top w:w="55" w:type="dxa"/>
              <w:left w:w="55" w:type="dxa"/>
              <w:bottom w:w="55" w:type="dxa"/>
              <w:right w:w="55" w:type="dxa"/>
            </w:tcMar>
          </w:tcPr>
          <w:p w14:paraId="5429626F" w14:textId="77777777" w:rsidR="003A727A" w:rsidRDefault="003A727A" w:rsidP="00435328">
            <w:pPr>
              <w:pStyle w:val="Standard"/>
              <w:rPr>
                <w:rFonts w:ascii="Garamond" w:hAnsi="Garamond"/>
                <w:sz w:val="21"/>
                <w:szCs w:val="21"/>
              </w:rPr>
            </w:pPr>
            <w:r>
              <w:rPr>
                <w:rFonts w:ascii="Garamond" w:hAnsi="Garamond"/>
                <w:sz w:val="21"/>
                <w:szCs w:val="21"/>
              </w:rPr>
              <w:t>Information is taken from source(s) with enough interpretation/evaluation to develop a coherent analysis or synthesis.</w:t>
            </w:r>
          </w:p>
          <w:p w14:paraId="52B21749" w14:textId="77777777" w:rsidR="003A727A" w:rsidRDefault="003A727A" w:rsidP="00435328">
            <w:pPr>
              <w:pStyle w:val="Standard"/>
              <w:rPr>
                <w:rFonts w:ascii="Garamond" w:hAnsi="Garamond"/>
                <w:sz w:val="21"/>
                <w:szCs w:val="21"/>
              </w:rPr>
            </w:pPr>
            <w:r>
              <w:rPr>
                <w:rFonts w:ascii="Garamond" w:hAnsi="Garamond"/>
                <w:sz w:val="21"/>
                <w:szCs w:val="21"/>
              </w:rPr>
              <w:t>Viewpoints of experts are subject to questioning.</w:t>
            </w:r>
          </w:p>
        </w:tc>
        <w:tc>
          <w:tcPr>
            <w:tcW w:w="3745" w:type="dxa"/>
            <w:tcBorders>
              <w:left w:val="single" w:sz="2" w:space="0" w:color="000000"/>
              <w:bottom w:val="single" w:sz="2" w:space="0" w:color="000000"/>
            </w:tcBorders>
            <w:tcMar>
              <w:top w:w="55" w:type="dxa"/>
              <w:left w:w="55" w:type="dxa"/>
              <w:bottom w:w="55" w:type="dxa"/>
              <w:right w:w="55" w:type="dxa"/>
            </w:tcMar>
          </w:tcPr>
          <w:p w14:paraId="153438FE" w14:textId="77777777" w:rsidR="003A727A" w:rsidRDefault="003A727A" w:rsidP="00435328">
            <w:pPr>
              <w:pStyle w:val="Standard"/>
              <w:rPr>
                <w:rFonts w:ascii="Garamond" w:hAnsi="Garamond"/>
                <w:sz w:val="21"/>
                <w:szCs w:val="21"/>
              </w:rPr>
            </w:pPr>
            <w:r>
              <w:rPr>
                <w:rFonts w:ascii="Garamond" w:hAnsi="Garamond"/>
                <w:sz w:val="21"/>
                <w:szCs w:val="21"/>
              </w:rPr>
              <w:t>Information is taken from source(s) with some interpretation/evaluation, but not enough to develop a coherent analysis or synthesis.</w:t>
            </w:r>
          </w:p>
          <w:p w14:paraId="0F7B2A37" w14:textId="77777777" w:rsidR="003A727A" w:rsidRDefault="003A727A" w:rsidP="00435328">
            <w:pPr>
              <w:pStyle w:val="Standard"/>
              <w:rPr>
                <w:rFonts w:ascii="Garamond" w:hAnsi="Garamond"/>
                <w:sz w:val="21"/>
                <w:szCs w:val="21"/>
              </w:rPr>
            </w:pPr>
            <w:r>
              <w:rPr>
                <w:rFonts w:ascii="Garamond" w:hAnsi="Garamond"/>
                <w:sz w:val="21"/>
                <w:szCs w:val="21"/>
              </w:rPr>
              <w:t>Viewpoints of experts are taken as mostly fact, with little questioning.</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0F2D77" w14:textId="77777777" w:rsidR="003A727A" w:rsidRDefault="003A727A" w:rsidP="00435328">
            <w:pPr>
              <w:pStyle w:val="Standard"/>
              <w:rPr>
                <w:rFonts w:ascii="Garamond" w:hAnsi="Garamond"/>
                <w:sz w:val="21"/>
                <w:szCs w:val="21"/>
              </w:rPr>
            </w:pPr>
            <w:r>
              <w:rPr>
                <w:rFonts w:ascii="Garamond" w:hAnsi="Garamond"/>
                <w:sz w:val="21"/>
                <w:szCs w:val="21"/>
              </w:rPr>
              <w:t>Information is taken from source(s) without any interpretation/evaluation.</w:t>
            </w:r>
          </w:p>
          <w:p w14:paraId="784FEB85" w14:textId="77777777" w:rsidR="003A727A" w:rsidRDefault="003A727A" w:rsidP="00435328">
            <w:pPr>
              <w:pStyle w:val="Standard"/>
              <w:rPr>
                <w:rFonts w:ascii="Garamond" w:hAnsi="Garamond"/>
                <w:sz w:val="21"/>
                <w:szCs w:val="21"/>
              </w:rPr>
            </w:pPr>
            <w:r>
              <w:rPr>
                <w:rFonts w:ascii="Garamond" w:hAnsi="Garamond"/>
                <w:sz w:val="21"/>
                <w:szCs w:val="21"/>
              </w:rPr>
              <w:t>Viewpoints of experts are taken as fact, without question.</w:t>
            </w:r>
          </w:p>
        </w:tc>
      </w:tr>
      <w:tr w:rsidR="003A727A" w14:paraId="724C4574"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2342ABAB" w14:textId="77777777" w:rsidR="003A727A" w:rsidRDefault="003A727A" w:rsidP="00435328">
            <w:pPr>
              <w:pStyle w:val="Standard"/>
              <w:rPr>
                <w:rFonts w:ascii="Garamond" w:hAnsi="Garamond"/>
                <w:b/>
                <w:bCs/>
                <w:sz w:val="21"/>
                <w:szCs w:val="21"/>
              </w:rPr>
            </w:pPr>
            <w:r>
              <w:rPr>
                <w:rFonts w:ascii="Garamond" w:hAnsi="Garamond"/>
                <w:b/>
                <w:bCs/>
                <w:sz w:val="21"/>
                <w:szCs w:val="21"/>
              </w:rPr>
              <w:t>Influence of context and assumptions</w:t>
            </w:r>
          </w:p>
        </w:tc>
        <w:tc>
          <w:tcPr>
            <w:tcW w:w="3745" w:type="dxa"/>
            <w:tcBorders>
              <w:left w:val="single" w:sz="2" w:space="0" w:color="000000"/>
              <w:bottom w:val="single" w:sz="2" w:space="0" w:color="000000"/>
            </w:tcBorders>
            <w:tcMar>
              <w:top w:w="55" w:type="dxa"/>
              <w:left w:w="55" w:type="dxa"/>
              <w:bottom w:w="55" w:type="dxa"/>
              <w:right w:w="55" w:type="dxa"/>
            </w:tcMar>
          </w:tcPr>
          <w:p w14:paraId="4FC08EFE" w14:textId="77777777" w:rsidR="003A727A" w:rsidRDefault="003A727A" w:rsidP="00435328">
            <w:pPr>
              <w:pStyle w:val="Standard"/>
              <w:rPr>
                <w:rFonts w:ascii="Garamond" w:hAnsi="Garamond"/>
                <w:sz w:val="21"/>
                <w:szCs w:val="21"/>
              </w:rPr>
            </w:pPr>
            <w:r>
              <w:rPr>
                <w:rFonts w:ascii="Garamond" w:hAnsi="Garamond"/>
                <w:sz w:val="21"/>
                <w:szCs w:val="21"/>
              </w:rPr>
              <w:t>Thoroughly (systematically and methodically) analyzes own and others</w:t>
            </w:r>
            <w:r w:rsidRPr="00D247C6">
              <w:rPr>
                <w:rFonts w:ascii="Garamond" w:hAnsi="Garamond"/>
                <w:sz w:val="21"/>
                <w:szCs w:val="21"/>
              </w:rPr>
              <w:t xml:space="preserve">' </w:t>
            </w:r>
            <w:r>
              <w:rPr>
                <w:rFonts w:ascii="Garamond" w:hAnsi="Garamond"/>
                <w:sz w:val="21"/>
                <w:szCs w:val="21"/>
              </w:rPr>
              <w:t>assumptions and carefully evaluates the relevance of contexts when presenting a position.</w:t>
            </w:r>
          </w:p>
        </w:tc>
        <w:tc>
          <w:tcPr>
            <w:tcW w:w="3744" w:type="dxa"/>
            <w:tcBorders>
              <w:left w:val="single" w:sz="2" w:space="0" w:color="000000"/>
              <w:bottom w:val="single" w:sz="2" w:space="0" w:color="000000"/>
            </w:tcBorders>
            <w:tcMar>
              <w:top w:w="55" w:type="dxa"/>
              <w:left w:w="55" w:type="dxa"/>
              <w:bottom w:w="55" w:type="dxa"/>
              <w:right w:w="55" w:type="dxa"/>
            </w:tcMar>
          </w:tcPr>
          <w:p w14:paraId="293A983E" w14:textId="77777777" w:rsidR="003A727A" w:rsidRDefault="003A727A" w:rsidP="00435328">
            <w:pPr>
              <w:pStyle w:val="Standard"/>
              <w:rPr>
                <w:rFonts w:ascii="Garamond" w:hAnsi="Garamond"/>
                <w:sz w:val="21"/>
                <w:szCs w:val="21"/>
              </w:rPr>
            </w:pPr>
            <w:r>
              <w:rPr>
                <w:rFonts w:ascii="Garamond" w:hAnsi="Garamond"/>
                <w:sz w:val="21"/>
                <w:szCs w:val="21"/>
              </w:rPr>
              <w:t>Identifies own and others' assumptions and several relevant contexts when presenting a position.</w:t>
            </w:r>
          </w:p>
        </w:tc>
        <w:tc>
          <w:tcPr>
            <w:tcW w:w="3745" w:type="dxa"/>
            <w:tcBorders>
              <w:left w:val="single" w:sz="2" w:space="0" w:color="000000"/>
              <w:bottom w:val="single" w:sz="2" w:space="0" w:color="000000"/>
            </w:tcBorders>
            <w:tcMar>
              <w:top w:w="55" w:type="dxa"/>
              <w:left w:w="55" w:type="dxa"/>
              <w:bottom w:w="55" w:type="dxa"/>
              <w:right w:w="55" w:type="dxa"/>
            </w:tcMar>
          </w:tcPr>
          <w:p w14:paraId="47EF4090" w14:textId="77777777" w:rsidR="003A727A" w:rsidRDefault="003A727A" w:rsidP="00435328">
            <w:pPr>
              <w:pStyle w:val="Standard"/>
              <w:rPr>
                <w:rFonts w:ascii="Garamond" w:hAnsi="Garamond"/>
                <w:sz w:val="21"/>
                <w:szCs w:val="21"/>
              </w:rPr>
            </w:pPr>
            <w:r>
              <w:rPr>
                <w:rFonts w:ascii="Garamond" w:hAnsi="Garamond"/>
                <w:sz w:val="21"/>
                <w:szCs w:val="21"/>
              </w:rPr>
              <w:t>Questions some assumptions.  Identifies several relevant contexts when presenting a position. May be more aware of others' assumptions than one's own (or vice versa).</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8CBD70" w14:textId="77777777" w:rsidR="003A727A" w:rsidRDefault="003A727A" w:rsidP="00435328">
            <w:pPr>
              <w:pStyle w:val="Standard"/>
              <w:rPr>
                <w:rFonts w:ascii="Garamond" w:hAnsi="Garamond"/>
                <w:sz w:val="21"/>
                <w:szCs w:val="21"/>
              </w:rPr>
            </w:pPr>
            <w:r>
              <w:rPr>
                <w:rFonts w:ascii="Garamond" w:hAnsi="Garamond"/>
                <w:sz w:val="21"/>
                <w:szCs w:val="21"/>
              </w:rPr>
              <w:t>Shows an emerging awareness of present assumptions (sometimes labels assertions as assumptions).</w:t>
            </w:r>
            <w:r>
              <w:rPr>
                <w:rFonts w:ascii="Garamond" w:hAnsi="Garamond"/>
                <w:sz w:val="21"/>
                <w:szCs w:val="21"/>
                <w:lang w:val="en-US"/>
              </w:rPr>
              <w:t xml:space="preserve"> </w:t>
            </w:r>
            <w:r>
              <w:rPr>
                <w:rFonts w:ascii="Garamond" w:hAnsi="Garamond"/>
                <w:sz w:val="21"/>
                <w:szCs w:val="21"/>
              </w:rPr>
              <w:t>Begins to identify some contexts when presenting a position.</w:t>
            </w:r>
          </w:p>
        </w:tc>
      </w:tr>
      <w:tr w:rsidR="003A727A" w14:paraId="73435B11"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73117630" w14:textId="77777777" w:rsidR="003A727A" w:rsidRPr="00D247C6" w:rsidRDefault="003A727A" w:rsidP="00435328">
            <w:pPr>
              <w:pStyle w:val="Standard"/>
              <w:rPr>
                <w:rFonts w:ascii="Garamond" w:hAnsi="Garamond"/>
                <w:b/>
                <w:bCs/>
                <w:sz w:val="21"/>
                <w:szCs w:val="21"/>
              </w:rPr>
            </w:pPr>
            <w:r w:rsidRPr="00D247C6">
              <w:rPr>
                <w:rFonts w:ascii="Garamond" w:hAnsi="Garamond"/>
                <w:b/>
                <w:bCs/>
                <w:sz w:val="21"/>
                <w:szCs w:val="21"/>
              </w:rPr>
              <w:t>Student's position (perspective, thesis/hypothesis)</w:t>
            </w:r>
          </w:p>
        </w:tc>
        <w:tc>
          <w:tcPr>
            <w:tcW w:w="3745" w:type="dxa"/>
            <w:tcBorders>
              <w:left w:val="single" w:sz="2" w:space="0" w:color="000000"/>
              <w:bottom w:val="single" w:sz="2" w:space="0" w:color="000000"/>
            </w:tcBorders>
            <w:tcMar>
              <w:top w:w="55" w:type="dxa"/>
              <w:left w:w="55" w:type="dxa"/>
              <w:bottom w:w="55" w:type="dxa"/>
              <w:right w:w="55" w:type="dxa"/>
            </w:tcMar>
          </w:tcPr>
          <w:p w14:paraId="7FF003CC" w14:textId="77777777" w:rsidR="003A727A" w:rsidRDefault="003A727A" w:rsidP="00435328">
            <w:pPr>
              <w:pStyle w:val="Standard"/>
              <w:rPr>
                <w:rFonts w:ascii="Garamond" w:hAnsi="Garamond"/>
                <w:sz w:val="21"/>
                <w:szCs w:val="21"/>
              </w:rPr>
            </w:pPr>
            <w:r>
              <w:rPr>
                <w:rFonts w:ascii="Garamond" w:hAnsi="Garamond"/>
                <w:sz w:val="21"/>
                <w:szCs w:val="21"/>
              </w:rPr>
              <w:t>Specific position (perspective, thesis/hypothesis) is imaginative, taking into account the complexities of an issue.</w:t>
            </w:r>
          </w:p>
          <w:p w14:paraId="35CEACC2" w14:textId="77777777" w:rsidR="003A727A" w:rsidRDefault="003A727A" w:rsidP="00435328">
            <w:pPr>
              <w:pStyle w:val="Standard"/>
              <w:rPr>
                <w:rFonts w:ascii="Garamond" w:hAnsi="Garamond"/>
                <w:sz w:val="21"/>
                <w:szCs w:val="21"/>
              </w:rPr>
            </w:pPr>
            <w:r>
              <w:rPr>
                <w:rFonts w:ascii="Garamond" w:hAnsi="Garamond"/>
                <w:sz w:val="21"/>
                <w:szCs w:val="21"/>
              </w:rPr>
              <w:t>Limits of position (perspective, thesis/hypothesis) are acknowledged.</w:t>
            </w:r>
          </w:p>
          <w:p w14:paraId="54C66DDC" w14:textId="77777777" w:rsidR="003A727A" w:rsidRDefault="003A727A" w:rsidP="00435328">
            <w:pPr>
              <w:pStyle w:val="Standard"/>
              <w:rPr>
                <w:rFonts w:ascii="Garamond" w:hAnsi="Garamond"/>
                <w:sz w:val="21"/>
                <w:szCs w:val="21"/>
              </w:rPr>
            </w:pPr>
            <w:r>
              <w:rPr>
                <w:rFonts w:ascii="Garamond" w:hAnsi="Garamond"/>
                <w:sz w:val="21"/>
                <w:szCs w:val="21"/>
              </w:rPr>
              <w:t>Others' points of view are synthesized within position (perspective, thesis/hypothesis).</w:t>
            </w:r>
          </w:p>
        </w:tc>
        <w:tc>
          <w:tcPr>
            <w:tcW w:w="3744" w:type="dxa"/>
            <w:tcBorders>
              <w:left w:val="single" w:sz="2" w:space="0" w:color="000000"/>
              <w:bottom w:val="single" w:sz="2" w:space="0" w:color="000000"/>
            </w:tcBorders>
            <w:tcMar>
              <w:top w:w="55" w:type="dxa"/>
              <w:left w:w="55" w:type="dxa"/>
              <w:bottom w:w="55" w:type="dxa"/>
              <w:right w:w="55" w:type="dxa"/>
            </w:tcMar>
          </w:tcPr>
          <w:p w14:paraId="5B717387" w14:textId="77777777" w:rsidR="003A727A" w:rsidRDefault="003A727A" w:rsidP="00435328">
            <w:pPr>
              <w:pStyle w:val="Standard"/>
              <w:rPr>
                <w:rFonts w:ascii="Garamond" w:hAnsi="Garamond"/>
                <w:sz w:val="21"/>
                <w:szCs w:val="21"/>
              </w:rPr>
            </w:pPr>
            <w:r>
              <w:rPr>
                <w:rFonts w:ascii="Garamond" w:hAnsi="Garamond"/>
                <w:sz w:val="21"/>
                <w:szCs w:val="21"/>
              </w:rPr>
              <w:t>Specific position (perspective, thesis/hypothesis) takes into account the complexities of an issue.</w:t>
            </w:r>
          </w:p>
          <w:p w14:paraId="2A69DD62" w14:textId="77777777" w:rsidR="003A727A" w:rsidRDefault="003A727A" w:rsidP="00435328">
            <w:pPr>
              <w:pStyle w:val="Standard"/>
              <w:rPr>
                <w:rFonts w:ascii="Garamond" w:hAnsi="Garamond"/>
                <w:sz w:val="21"/>
                <w:szCs w:val="21"/>
              </w:rPr>
            </w:pPr>
            <w:r>
              <w:rPr>
                <w:rFonts w:ascii="Garamond" w:hAnsi="Garamond"/>
                <w:sz w:val="21"/>
                <w:szCs w:val="21"/>
              </w:rPr>
              <w:t>Others' points of view are acknowledged within position (perspective, thesis/hypothesis).</w:t>
            </w:r>
          </w:p>
        </w:tc>
        <w:tc>
          <w:tcPr>
            <w:tcW w:w="3745" w:type="dxa"/>
            <w:tcBorders>
              <w:left w:val="single" w:sz="2" w:space="0" w:color="000000"/>
              <w:bottom w:val="single" w:sz="2" w:space="0" w:color="000000"/>
            </w:tcBorders>
            <w:tcMar>
              <w:top w:w="55" w:type="dxa"/>
              <w:left w:w="55" w:type="dxa"/>
              <w:bottom w:w="55" w:type="dxa"/>
              <w:right w:w="55" w:type="dxa"/>
            </w:tcMar>
          </w:tcPr>
          <w:p w14:paraId="3A5EBC30" w14:textId="77777777" w:rsidR="003A727A" w:rsidRDefault="003A727A" w:rsidP="00435328">
            <w:pPr>
              <w:pStyle w:val="Standard"/>
              <w:rPr>
                <w:rFonts w:ascii="Garamond" w:hAnsi="Garamond"/>
                <w:sz w:val="21"/>
                <w:szCs w:val="21"/>
              </w:rPr>
            </w:pPr>
            <w:r>
              <w:rPr>
                <w:rFonts w:ascii="Garamond" w:hAnsi="Garamond"/>
                <w:sz w:val="21"/>
                <w:szCs w:val="21"/>
              </w:rPr>
              <w:t>Specific position (perspective, thesis/hypothesis) acknowledges different sides of an issue.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665121" w14:textId="77777777" w:rsidR="003A727A" w:rsidRDefault="003A727A" w:rsidP="00435328">
            <w:pPr>
              <w:pStyle w:val="Standard"/>
              <w:rPr>
                <w:rFonts w:ascii="Garamond" w:hAnsi="Garamond"/>
                <w:sz w:val="21"/>
                <w:szCs w:val="21"/>
              </w:rPr>
            </w:pPr>
            <w:r>
              <w:rPr>
                <w:rFonts w:ascii="Garamond" w:hAnsi="Garamond"/>
                <w:sz w:val="21"/>
                <w:szCs w:val="21"/>
              </w:rPr>
              <w:t>Specific position (perspective, thesis/hypothesis) is stated, but is simplistic and obvious.</w:t>
            </w:r>
          </w:p>
        </w:tc>
      </w:tr>
      <w:tr w:rsidR="003A727A" w14:paraId="43AC032F"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7A099395" w14:textId="77777777" w:rsidR="003A727A" w:rsidRDefault="003A727A" w:rsidP="00435328">
            <w:pPr>
              <w:pStyle w:val="Standard"/>
              <w:rPr>
                <w:rFonts w:ascii="Garamond" w:hAnsi="Garamond"/>
                <w:b/>
                <w:bCs/>
                <w:sz w:val="21"/>
                <w:szCs w:val="21"/>
              </w:rPr>
            </w:pPr>
            <w:r>
              <w:rPr>
                <w:rFonts w:ascii="Garamond" w:hAnsi="Garamond"/>
                <w:b/>
                <w:bCs/>
                <w:sz w:val="21"/>
                <w:szCs w:val="21"/>
              </w:rPr>
              <w:t>Conclusions and related outcomes (implications and consequences)</w:t>
            </w:r>
          </w:p>
        </w:tc>
        <w:tc>
          <w:tcPr>
            <w:tcW w:w="3745" w:type="dxa"/>
            <w:tcBorders>
              <w:left w:val="single" w:sz="2" w:space="0" w:color="000000"/>
              <w:bottom w:val="single" w:sz="2" w:space="0" w:color="000000"/>
            </w:tcBorders>
            <w:tcMar>
              <w:top w:w="55" w:type="dxa"/>
              <w:left w:w="55" w:type="dxa"/>
              <w:bottom w:w="55" w:type="dxa"/>
              <w:right w:w="55" w:type="dxa"/>
            </w:tcMar>
          </w:tcPr>
          <w:p w14:paraId="5C6FB76F" w14:textId="77777777" w:rsidR="003A727A" w:rsidRPr="00D247C6" w:rsidRDefault="003A727A" w:rsidP="00435328">
            <w:pPr>
              <w:pStyle w:val="Standard"/>
              <w:rPr>
                <w:rFonts w:ascii="Garamond" w:hAnsi="Garamond"/>
                <w:sz w:val="21"/>
                <w:szCs w:val="21"/>
                <w:lang w:val="en-US"/>
              </w:rPr>
            </w:pPr>
            <w:r>
              <w:rPr>
                <w:rFonts w:ascii="Garamond" w:hAnsi="Garamond"/>
                <w:sz w:val="21"/>
                <w:szCs w:val="21"/>
              </w:rPr>
              <w:t>Conclusions and related outcomes (consequences and implications) are logical and reflect student’s informed evaluation and ability to place evidence and perspectives discussed in priority order</w:t>
            </w:r>
            <w:r>
              <w:rPr>
                <w:rFonts w:ascii="Garamond" w:hAnsi="Garamond"/>
                <w:sz w:val="21"/>
                <w:szCs w:val="21"/>
                <w:lang w:val="en-US"/>
              </w:rPr>
              <w:t>.</w:t>
            </w:r>
          </w:p>
        </w:tc>
        <w:tc>
          <w:tcPr>
            <w:tcW w:w="3744" w:type="dxa"/>
            <w:tcBorders>
              <w:left w:val="single" w:sz="2" w:space="0" w:color="000000"/>
              <w:bottom w:val="single" w:sz="2" w:space="0" w:color="000000"/>
            </w:tcBorders>
            <w:tcMar>
              <w:top w:w="55" w:type="dxa"/>
              <w:left w:w="55" w:type="dxa"/>
              <w:bottom w:w="55" w:type="dxa"/>
              <w:right w:w="55" w:type="dxa"/>
            </w:tcMar>
          </w:tcPr>
          <w:p w14:paraId="44DD045A" w14:textId="77777777" w:rsidR="003A727A" w:rsidRDefault="003A727A" w:rsidP="00435328">
            <w:pPr>
              <w:pStyle w:val="Standard"/>
              <w:rPr>
                <w:rFonts w:ascii="Garamond" w:hAnsi="Garamond"/>
                <w:sz w:val="21"/>
                <w:szCs w:val="21"/>
              </w:rPr>
            </w:pPr>
            <w:r>
              <w:rPr>
                <w:rFonts w:ascii="Garamond" w:hAnsi="Garamond"/>
                <w:sz w:val="21"/>
                <w:szCs w:val="21"/>
              </w:rPr>
              <w:t>Conclusion is logically tied to a range of information, including opposing viewpoints; related outcomes (consequences and implications) are identified clearly.</w:t>
            </w:r>
          </w:p>
        </w:tc>
        <w:tc>
          <w:tcPr>
            <w:tcW w:w="3745" w:type="dxa"/>
            <w:tcBorders>
              <w:left w:val="single" w:sz="2" w:space="0" w:color="000000"/>
              <w:bottom w:val="single" w:sz="2" w:space="0" w:color="000000"/>
            </w:tcBorders>
            <w:tcMar>
              <w:top w:w="55" w:type="dxa"/>
              <w:left w:w="55" w:type="dxa"/>
              <w:bottom w:w="55" w:type="dxa"/>
              <w:right w:w="55" w:type="dxa"/>
            </w:tcMar>
          </w:tcPr>
          <w:p w14:paraId="6DFCC12A" w14:textId="77777777" w:rsidR="003A727A" w:rsidRDefault="003A727A" w:rsidP="00435328">
            <w:pPr>
              <w:pStyle w:val="Standard"/>
              <w:rPr>
                <w:rFonts w:ascii="Garamond" w:hAnsi="Garamond"/>
                <w:sz w:val="21"/>
                <w:szCs w:val="21"/>
              </w:rPr>
            </w:pPr>
            <w:r>
              <w:rPr>
                <w:rFonts w:ascii="Garamond" w:hAnsi="Garamond"/>
                <w:sz w:val="21"/>
                <w:szCs w:val="21"/>
              </w:rPr>
              <w:t>Conclusion is logically tied to information (because information is chosen to fit the desired conclusion); some related outcomes (consequences and implications) are identified clearly.</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8B6B9C" w14:textId="77777777" w:rsidR="003A727A" w:rsidRDefault="003A727A" w:rsidP="00435328">
            <w:pPr>
              <w:pStyle w:val="Standard"/>
              <w:rPr>
                <w:rFonts w:ascii="Garamond" w:hAnsi="Garamond"/>
                <w:sz w:val="21"/>
                <w:szCs w:val="21"/>
              </w:rPr>
            </w:pPr>
            <w:r>
              <w:rPr>
                <w:rFonts w:ascii="Garamond" w:hAnsi="Garamond"/>
                <w:sz w:val="21"/>
                <w:szCs w:val="21"/>
              </w:rPr>
              <w:t>Conclusion is inconsistently tied to some of the information discussed; related outcomes (consequences and implications) are oversimplified.</w:t>
            </w:r>
          </w:p>
        </w:tc>
      </w:tr>
    </w:tbl>
    <w:p w14:paraId="3902EECD" w14:textId="77777777" w:rsidR="003A727A" w:rsidRDefault="003A727A" w:rsidP="003A727A">
      <w:pPr>
        <w:pStyle w:val="Standard"/>
        <w:rPr>
          <w:rFonts w:ascii="Garamond" w:hAnsi="Garamond"/>
          <w:sz w:val="8"/>
          <w:szCs w:val="8"/>
        </w:rPr>
      </w:pPr>
    </w:p>
    <w:p w14:paraId="40900850" w14:textId="77777777" w:rsidR="003A727A" w:rsidRDefault="003A727A" w:rsidP="003A727A"/>
    <w:p w14:paraId="709BB6BB" w14:textId="77777777" w:rsidR="003A727A" w:rsidRDefault="003A727A" w:rsidP="003A727A">
      <w:r>
        <w:t>.</w:t>
      </w: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4D74D0F5" w14:textId="77777777" w:rsidTr="00435328">
        <w:trPr>
          <w:trHeight w:val="311"/>
        </w:trPr>
        <w:tc>
          <w:tcPr>
            <w:tcW w:w="16704" w:type="dxa"/>
            <w:tcMar>
              <w:top w:w="0" w:type="dxa"/>
              <w:left w:w="0" w:type="dxa"/>
              <w:bottom w:w="0" w:type="dxa"/>
              <w:right w:w="0" w:type="dxa"/>
            </w:tcMar>
          </w:tcPr>
          <w:p w14:paraId="20BE23B0" w14:textId="77777777" w:rsidR="003A727A" w:rsidRDefault="003A727A" w:rsidP="00435328">
            <w:pPr>
              <w:pStyle w:val="Standard"/>
              <w:snapToGrid w:val="0"/>
              <w:jc w:val="center"/>
              <w:rPr>
                <w:rFonts w:ascii="Garamond" w:hAnsi="Garamond"/>
                <w:b/>
                <w:smallCaps/>
                <w:color w:val="000000"/>
                <w:sz w:val="40"/>
                <w:szCs w:val="40"/>
              </w:rPr>
            </w:pPr>
            <w:r>
              <w:rPr>
                <w:rFonts w:ascii="Garamond" w:hAnsi="Garamond"/>
                <w:b/>
                <w:smallCaps/>
                <w:color w:val="000000"/>
                <w:sz w:val="40"/>
                <w:szCs w:val="40"/>
              </w:rPr>
              <w:t>Written Communication VALUE Rubric</w:t>
            </w:r>
          </w:p>
          <w:p w14:paraId="396BE53D" w14:textId="77777777" w:rsidR="003A727A" w:rsidRDefault="003A727A" w:rsidP="00435328">
            <w:pPr>
              <w:pStyle w:val="Standard"/>
              <w:snapToGrid w:val="0"/>
              <w:jc w:val="center"/>
              <w:rPr>
                <w:sz w:val="19"/>
                <w:szCs w:val="19"/>
              </w:rPr>
            </w:pPr>
            <w:r>
              <w:rPr>
                <w:rFonts w:ascii="Garamond" w:eastAsia="Helvetica" w:hAnsi="Garamond" w:cs="Helvetica"/>
                <w:i/>
                <w:sz w:val="19"/>
                <w:szCs w:val="19"/>
                <w:lang w:val="en-US"/>
              </w:rPr>
              <w:t>f</w:t>
            </w:r>
            <w:r>
              <w:rPr>
                <w:rFonts w:ascii="Garamond" w:eastAsia="Helvetica" w:hAnsi="Garamond" w:cs="Helvetica"/>
                <w:i/>
                <w:sz w:val="19"/>
                <w:szCs w:val="19"/>
              </w:rPr>
              <w:t>or more information</w:t>
            </w:r>
            <w:r>
              <w:rPr>
                <w:rFonts w:ascii="Garamond" w:eastAsia="Helvetica" w:hAnsi="Garamond" w:cs="Helvetica"/>
                <w:i/>
                <w:sz w:val="19"/>
                <w:szCs w:val="19"/>
                <w:lang w:val="en-US"/>
              </w:rPr>
              <w:t xml:space="preserve">, </w:t>
            </w:r>
            <w:r>
              <w:rPr>
                <w:rFonts w:ascii="Garamond" w:eastAsia="Helvetica" w:hAnsi="Garamond" w:cs="Helvetica"/>
                <w:i/>
                <w:sz w:val="19"/>
                <w:szCs w:val="19"/>
              </w:rPr>
              <w:t xml:space="preserve">please </w:t>
            </w:r>
            <w:r>
              <w:rPr>
                <w:rFonts w:ascii="Garamond" w:eastAsia="Helvetica" w:hAnsi="Garamond" w:cs="Helvetica"/>
                <w:i/>
                <w:sz w:val="19"/>
                <w:szCs w:val="19"/>
                <w:lang w:val="en-US"/>
              </w:rPr>
              <w:t>contact value</w:t>
            </w:r>
            <w:r>
              <w:rPr>
                <w:rFonts w:ascii="Garamond" w:eastAsia="Helvetica" w:hAnsi="Garamond" w:cs="Helvetica"/>
                <w:i/>
                <w:sz w:val="19"/>
                <w:szCs w:val="19"/>
              </w:rPr>
              <w:t>@</w:t>
            </w:r>
            <w:r>
              <w:rPr>
                <w:rFonts w:ascii="Garamond" w:eastAsia="Helvetica" w:hAnsi="Garamond" w:cs="Helvetica"/>
                <w:i/>
                <w:sz w:val="19"/>
                <w:szCs w:val="19"/>
                <w:lang w:val="en-US"/>
              </w:rPr>
              <w:t>aacu.org</w:t>
            </w:r>
          </w:p>
        </w:tc>
        <w:tc>
          <w:tcPr>
            <w:tcW w:w="1882" w:type="dxa"/>
            <w:tcMar>
              <w:top w:w="0" w:type="dxa"/>
              <w:left w:w="0" w:type="dxa"/>
              <w:bottom w:w="0" w:type="dxa"/>
              <w:right w:w="0" w:type="dxa"/>
            </w:tcMar>
          </w:tcPr>
          <w:p w14:paraId="7B4627E1"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0"/>
                <w:szCs w:val="20"/>
              </w:rPr>
            </w:pPr>
            <w:r>
              <w:rPr>
                <w:rFonts w:ascii="Garamond" w:hAnsi="Garamond"/>
                <w:noProof/>
                <w:sz w:val="20"/>
                <w:szCs w:val="20"/>
                <w:lang w:val="en-US"/>
              </w:rPr>
              <w:drawing>
                <wp:inline distT="0" distB="0" distL="0" distR="0" wp14:anchorId="2CA2E27F" wp14:editId="7FD7E81E">
                  <wp:extent cx="1143000" cy="596900"/>
                  <wp:effectExtent l="0" t="0" r="0" b="12700"/>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596900"/>
                          </a:xfrm>
                          <a:prstGeom prst="rect">
                            <a:avLst/>
                          </a:prstGeom>
                          <a:solidFill>
                            <a:srgbClr val="FFFFFF"/>
                          </a:solidFill>
                          <a:ln>
                            <a:noFill/>
                          </a:ln>
                        </pic:spPr>
                      </pic:pic>
                    </a:graphicData>
                  </a:graphic>
                </wp:inline>
              </w:drawing>
            </w:r>
          </w:p>
        </w:tc>
      </w:tr>
    </w:tbl>
    <w:p w14:paraId="15812857" w14:textId="77777777" w:rsidR="003A727A" w:rsidRDefault="003A727A" w:rsidP="003A727A">
      <w:pPr>
        <w:pStyle w:val="Standard"/>
        <w:rPr>
          <w:rFonts w:ascii="Garamond" w:hAnsi="Garamond"/>
          <w:sz w:val="20"/>
          <w:szCs w:val="20"/>
        </w:rPr>
      </w:pPr>
    </w:p>
    <w:p w14:paraId="16F54336" w14:textId="77777777" w:rsidR="003A727A" w:rsidRDefault="003A727A" w:rsidP="003A727A">
      <w:pPr>
        <w:pStyle w:val="Standard"/>
        <w:rPr>
          <w:rFonts w:ascii="Garamond" w:hAnsi="Garamond"/>
          <w:sz w:val="20"/>
          <w:szCs w:val="20"/>
        </w:rPr>
      </w:pPr>
      <w:r>
        <w:rPr>
          <w:rFonts w:ascii="Garamond" w:hAnsi="Garamond"/>
          <w:sz w:val="20"/>
          <w:szCs w:val="20"/>
        </w:rPr>
        <w:tab/>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5A202B88" w14:textId="77777777" w:rsidR="003A727A" w:rsidRDefault="003A727A" w:rsidP="003A727A">
      <w:pPr>
        <w:pStyle w:val="Standard"/>
        <w:rPr>
          <w:rFonts w:ascii="Garamond" w:hAnsi="Garamond"/>
          <w:sz w:val="20"/>
          <w:szCs w:val="20"/>
        </w:rPr>
      </w:pPr>
    </w:p>
    <w:p w14:paraId="1F32F419" w14:textId="77777777" w:rsidR="003A727A" w:rsidRDefault="003A727A" w:rsidP="003A727A">
      <w:pPr>
        <w:pStyle w:val="Standard"/>
        <w:jc w:val="center"/>
        <w:rPr>
          <w:rFonts w:ascii="Garamond" w:hAnsi="Garamond"/>
          <w:b/>
          <w:bCs/>
          <w:sz w:val="20"/>
          <w:szCs w:val="20"/>
        </w:rPr>
      </w:pPr>
      <w:r>
        <w:rPr>
          <w:rFonts w:ascii="Garamond" w:hAnsi="Garamond"/>
          <w:b/>
          <w:bCs/>
          <w:sz w:val="20"/>
          <w:szCs w:val="20"/>
        </w:rPr>
        <w:t>Definition</w:t>
      </w:r>
    </w:p>
    <w:p w14:paraId="00CB27F2" w14:textId="77777777" w:rsidR="003A727A" w:rsidRDefault="003A727A" w:rsidP="003A727A">
      <w:pPr>
        <w:pStyle w:val="Standard"/>
        <w:rPr>
          <w:rFonts w:ascii="Garamond" w:hAnsi="Garamond"/>
          <w:sz w:val="20"/>
          <w:szCs w:val="20"/>
        </w:rPr>
      </w:pPr>
      <w:r>
        <w:rPr>
          <w:rFonts w:ascii="Garamond" w:hAnsi="Garamond"/>
          <w:sz w:val="20"/>
          <w:szCs w:val="20"/>
        </w:rPr>
        <w:tab/>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0CC81F9F" w14:textId="77777777" w:rsidR="003A727A" w:rsidRDefault="003A727A" w:rsidP="003A727A">
      <w:pPr>
        <w:pStyle w:val="Standard"/>
        <w:rPr>
          <w:rFonts w:ascii="Garamond" w:hAnsi="Garamond"/>
          <w:sz w:val="20"/>
          <w:szCs w:val="20"/>
        </w:rPr>
      </w:pPr>
    </w:p>
    <w:p w14:paraId="7471CCC9" w14:textId="77777777" w:rsidR="003A727A" w:rsidRDefault="003A727A" w:rsidP="003A727A">
      <w:pPr>
        <w:pStyle w:val="Standard"/>
        <w:jc w:val="center"/>
        <w:rPr>
          <w:rFonts w:ascii="Garamond" w:hAnsi="Garamond"/>
          <w:b/>
          <w:bCs/>
          <w:sz w:val="20"/>
          <w:szCs w:val="20"/>
        </w:rPr>
      </w:pPr>
      <w:r>
        <w:rPr>
          <w:rFonts w:ascii="Garamond" w:hAnsi="Garamond"/>
          <w:b/>
          <w:bCs/>
          <w:sz w:val="20"/>
          <w:szCs w:val="20"/>
        </w:rPr>
        <w:t>Framing Language</w:t>
      </w:r>
    </w:p>
    <w:p w14:paraId="4CCA1EF0" w14:textId="77777777" w:rsidR="003A727A" w:rsidRDefault="003A727A" w:rsidP="003A727A">
      <w:pPr>
        <w:pStyle w:val="Standard"/>
        <w:rPr>
          <w:rFonts w:ascii="Garamond" w:hAnsi="Garamond"/>
          <w:sz w:val="20"/>
          <w:szCs w:val="20"/>
        </w:rPr>
      </w:pPr>
      <w:r>
        <w:rPr>
          <w:rFonts w:ascii="Garamond" w:hAnsi="Garamond"/>
          <w:sz w:val="20"/>
          <w:szCs w:val="20"/>
        </w:rPr>
        <w:tab/>
        <w:t>This writing rubric is designed for use in a wide variety of educational institutions. The most clear finding to emerge from decades of research on writing assessment is that the best writing assessments are locally determined and sensitive to local context and mission.  Users of this rubric should, in the end, consider making adaptations and additions that clearly link the language of the rubric to individual campus contexts.</w:t>
      </w:r>
    </w:p>
    <w:p w14:paraId="0111AC3E" w14:textId="77777777" w:rsidR="003A727A" w:rsidRDefault="003A727A" w:rsidP="003A727A">
      <w:pPr>
        <w:pStyle w:val="Standard"/>
        <w:rPr>
          <w:rFonts w:ascii="Garamond" w:hAnsi="Garamond"/>
          <w:sz w:val="20"/>
          <w:szCs w:val="20"/>
        </w:rPr>
      </w:pPr>
      <w:r>
        <w:rPr>
          <w:rFonts w:ascii="Garamond" w:hAnsi="Garamond"/>
          <w:sz w:val="20"/>
          <w:szCs w:val="20"/>
        </w:rPr>
        <w:tab/>
        <w:t>This rubric focuses assessment on how specific written work samples or collectios of work respond to specific contexts. The central question guiding the rubric is "How well does writing respond to the needs of audience(s) for the work?" In focusing on this question the rubric does not attend to other aspects of writing that are equally important: issues of writing process, writing strategies, writers' fluency with different modes of textual production or publication, or writer's growing engagement with writing and disciplinarity through the process of writing.  </w:t>
      </w:r>
    </w:p>
    <w:p w14:paraId="1E096BD7" w14:textId="77777777" w:rsidR="003A727A" w:rsidRDefault="003A727A" w:rsidP="003A727A">
      <w:pPr>
        <w:pStyle w:val="Standard"/>
        <w:rPr>
          <w:rFonts w:ascii="Garamond" w:hAnsi="Garamond"/>
          <w:sz w:val="20"/>
          <w:szCs w:val="20"/>
        </w:rPr>
      </w:pPr>
      <w:r>
        <w:rPr>
          <w:rFonts w:ascii="Garamond" w:hAnsi="Garamond"/>
          <w:sz w:val="20"/>
          <w:szCs w:val="20"/>
        </w:rPr>
        <w:tab/>
        <w:t>Evaluators using this rubric must have information about the assignments or purposes for writing guiding writers' work. Also recommended is including  reflective work samples of collections of work that address such questions as: What decisions did the writer make about audience, purpose, and genre as s/he compiled the work in the portfolio? How are those choices evident in the writing -- in the content, organization and structure, reasoning, evidence, mechanical and surface conventions, and citational systems used in the writing? This will enable evaluators to have a clear sense of how writers understand the assignments and take it into consideration as they evaluate</w:t>
      </w:r>
    </w:p>
    <w:p w14:paraId="6A7ADC1D" w14:textId="77777777" w:rsidR="003A727A" w:rsidRDefault="003A727A" w:rsidP="003A727A">
      <w:pPr>
        <w:pStyle w:val="Standard"/>
        <w:rPr>
          <w:rFonts w:ascii="Garamond" w:hAnsi="Garamond"/>
          <w:sz w:val="20"/>
          <w:szCs w:val="20"/>
        </w:rPr>
      </w:pPr>
      <w:r>
        <w:rPr>
          <w:rFonts w:ascii="Garamond" w:hAnsi="Garamond"/>
          <w:sz w:val="20"/>
          <w:szCs w:val="20"/>
        </w:rPr>
        <w:tab/>
        <w:t>The first section of this rubric addresses the context and purpose for writing.  A work sample or collections of work can convey the context and purpose for the writing tasks it showcases by including the writing assignments associated with work samples.  But writers may also convey the context and purpose for their writing within the texts.  It is important for faculty and institutions to include directions for students about how they should represent their writing contexts and purposes.</w:t>
      </w:r>
    </w:p>
    <w:p w14:paraId="065B350B" w14:textId="77777777" w:rsidR="003A727A" w:rsidRDefault="003A727A" w:rsidP="003A727A">
      <w:pPr>
        <w:pStyle w:val="Standard"/>
        <w:rPr>
          <w:rFonts w:ascii="Garamond" w:hAnsi="Garamond"/>
          <w:sz w:val="20"/>
          <w:szCs w:val="20"/>
        </w:rPr>
      </w:pPr>
      <w:r>
        <w:rPr>
          <w:rFonts w:ascii="Garamond" w:hAnsi="Garamond"/>
          <w:sz w:val="20"/>
          <w:szCs w:val="20"/>
        </w:rPr>
        <w:tab/>
        <w:t>Faculty interested in the research on writing assessment that has guided our work here can consult the National Council of Teachers of English/Council of Writing Program Administrators' White Paper on Writing Assessment (2008; www.wpacouncil.org/whitepaper) and the Conference on College Composition and Communication's Writing Assessment: A Position Statement (2008; www.ncte.org/cccc/resources/positions/123784.htm)</w:t>
      </w:r>
    </w:p>
    <w:p w14:paraId="740EA363" w14:textId="77777777" w:rsidR="003A727A" w:rsidRDefault="003A727A" w:rsidP="003A727A">
      <w:pPr>
        <w:pStyle w:val="Standard"/>
        <w:rPr>
          <w:rFonts w:ascii="Garamond" w:hAnsi="Garamond"/>
          <w:sz w:val="20"/>
          <w:szCs w:val="20"/>
        </w:rPr>
      </w:pPr>
    </w:p>
    <w:p w14:paraId="709EF63D" w14:textId="77777777" w:rsidR="003A727A" w:rsidRDefault="003A727A" w:rsidP="003A727A">
      <w:pPr>
        <w:pStyle w:val="Standard"/>
        <w:jc w:val="center"/>
        <w:rPr>
          <w:rFonts w:ascii="Garamond" w:hAnsi="Garamond"/>
          <w:b/>
          <w:bCs/>
          <w:sz w:val="20"/>
          <w:szCs w:val="20"/>
        </w:rPr>
      </w:pPr>
      <w:r>
        <w:rPr>
          <w:rFonts w:ascii="Garamond" w:hAnsi="Garamond"/>
          <w:b/>
          <w:bCs/>
          <w:sz w:val="20"/>
          <w:szCs w:val="20"/>
        </w:rPr>
        <w:t>Glossary</w:t>
      </w:r>
    </w:p>
    <w:p w14:paraId="1D5963F2" w14:textId="77777777" w:rsidR="003A727A" w:rsidRDefault="003A727A" w:rsidP="003A727A">
      <w:pPr>
        <w:pStyle w:val="Standard"/>
        <w:jc w:val="center"/>
        <w:rPr>
          <w:rFonts w:ascii="Garamond" w:hAnsi="Garamond"/>
          <w:sz w:val="20"/>
          <w:szCs w:val="20"/>
        </w:rPr>
      </w:pPr>
      <w:r>
        <w:rPr>
          <w:rFonts w:ascii="Garamond" w:hAnsi="Garamond"/>
          <w:sz w:val="20"/>
          <w:szCs w:val="20"/>
        </w:rPr>
        <w:t>The definitions that follow were developed to clarify terms and concepts used in this rubric only.</w:t>
      </w:r>
    </w:p>
    <w:p w14:paraId="095BF00B" w14:textId="77777777" w:rsidR="003A727A" w:rsidRDefault="003A727A" w:rsidP="003A727A">
      <w:pPr>
        <w:pStyle w:val="Standard"/>
        <w:numPr>
          <w:ilvl w:val="0"/>
          <w:numId w:val="12"/>
        </w:numPr>
        <w:rPr>
          <w:rFonts w:ascii="Garamond" w:hAnsi="Garamond"/>
          <w:sz w:val="20"/>
          <w:szCs w:val="20"/>
        </w:rPr>
      </w:pPr>
      <w:r>
        <w:rPr>
          <w:rFonts w:ascii="Garamond" w:hAnsi="Garamond"/>
          <w:sz w:val="20"/>
          <w:szCs w:val="20"/>
        </w:rPr>
        <w:t>Content Development: The ways in which the text explores and represents its topic in relation to its audience and purpose.</w:t>
      </w:r>
    </w:p>
    <w:p w14:paraId="27148128" w14:textId="77777777" w:rsidR="003A727A" w:rsidRDefault="003A727A" w:rsidP="003A727A">
      <w:pPr>
        <w:pStyle w:val="Standard"/>
        <w:numPr>
          <w:ilvl w:val="0"/>
          <w:numId w:val="12"/>
        </w:numPr>
        <w:rPr>
          <w:rFonts w:ascii="Garamond" w:hAnsi="Garamond"/>
          <w:sz w:val="20"/>
          <w:szCs w:val="20"/>
        </w:rPr>
      </w:pPr>
      <w:r>
        <w:rPr>
          <w:rFonts w:ascii="Garamond" w:hAnsi="Garamond"/>
          <w:sz w:val="20"/>
          <w:szCs w:val="20"/>
        </w:rPr>
        <w:t>Context of and purpose for writing:  The context of writing is the situation surrounding a text: who is reading it? who is writing it?  Under what circumstances will the text be shared or circulated? What social or political factors might affect how the text is composed or interpreted?  The purpose for writing is the writer's intended effect on an audience.  Writers might want to persuade or inform; they might want to report or summarize information; they might want to work through complexity or confusion; they might want to argue with other writers, or connect with other writers; they might want to convey urgency or amuse; they might write for themselves or for an assignment or to remember.</w:t>
      </w:r>
    </w:p>
    <w:p w14:paraId="58ABA6FC" w14:textId="77777777" w:rsidR="003A727A" w:rsidRDefault="003A727A" w:rsidP="003A727A">
      <w:pPr>
        <w:pStyle w:val="Standard"/>
        <w:numPr>
          <w:ilvl w:val="0"/>
          <w:numId w:val="12"/>
        </w:numPr>
        <w:rPr>
          <w:rFonts w:ascii="Garamond" w:hAnsi="Garamond"/>
          <w:sz w:val="20"/>
          <w:szCs w:val="20"/>
        </w:rPr>
      </w:pPr>
      <w:r>
        <w:rPr>
          <w:rFonts w:ascii="Garamond" w:hAnsi="Garamond"/>
          <w:sz w:val="20"/>
          <w:szCs w:val="20"/>
        </w:rPr>
        <w:t>Disciplinary conventions: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disciplinary and genre conventions, according to the writer's purpose for the text. Through increasingly sophisticated use of sources, writers develop an ability to differentiate between their own ideas and the ideas of others, credit and build upon work already accomplished in the field or issue they are addressing, and provide meaningful examples to readers.</w:t>
      </w:r>
    </w:p>
    <w:p w14:paraId="4C31E804" w14:textId="77777777" w:rsidR="003A727A" w:rsidRDefault="003A727A" w:rsidP="003A727A">
      <w:pPr>
        <w:pStyle w:val="Standard"/>
        <w:numPr>
          <w:ilvl w:val="0"/>
          <w:numId w:val="12"/>
        </w:numPr>
        <w:rPr>
          <w:rFonts w:ascii="Garamond" w:hAnsi="Garamond"/>
          <w:sz w:val="20"/>
          <w:szCs w:val="20"/>
        </w:rPr>
      </w:pPr>
      <w:r>
        <w:rPr>
          <w:rFonts w:ascii="Garamond" w:hAnsi="Garamond"/>
          <w:sz w:val="20"/>
          <w:szCs w:val="20"/>
        </w:rPr>
        <w:t>Evidence:  Source material that is used to extend, in purposeful ways, writers' ideas in a text.</w:t>
      </w:r>
    </w:p>
    <w:p w14:paraId="319EAC75" w14:textId="77777777" w:rsidR="003A727A" w:rsidRDefault="003A727A" w:rsidP="003A727A">
      <w:pPr>
        <w:pStyle w:val="Standard"/>
        <w:numPr>
          <w:ilvl w:val="0"/>
          <w:numId w:val="12"/>
        </w:numPr>
        <w:rPr>
          <w:rFonts w:ascii="Garamond" w:hAnsi="Garamond"/>
          <w:sz w:val="20"/>
          <w:szCs w:val="20"/>
        </w:rPr>
      </w:pPr>
      <w:r>
        <w:rPr>
          <w:rFonts w:ascii="Garamond" w:hAnsi="Garamond"/>
          <w:sz w:val="20"/>
          <w:szCs w:val="20"/>
        </w:rPr>
        <w:t>Genre conventions:  Formal and informal rules for particular kinds of texts and/or media that guide formatting, organization, and stylistic choices, e.g. lab reports, academic papers, poetry, webpages, or personal essays.</w:t>
      </w:r>
    </w:p>
    <w:p w14:paraId="2F4AD787" w14:textId="77777777" w:rsidR="003A727A" w:rsidRDefault="003A727A" w:rsidP="003A727A">
      <w:pPr>
        <w:pStyle w:val="Standard"/>
        <w:numPr>
          <w:ilvl w:val="0"/>
          <w:numId w:val="12"/>
        </w:numPr>
        <w:rPr>
          <w:rFonts w:ascii="Garamond" w:hAnsi="Garamond"/>
          <w:sz w:val="20"/>
          <w:szCs w:val="20"/>
        </w:rPr>
        <w:sectPr w:rsidR="003A727A" w:rsidSect="003A727A">
          <w:pgSz w:w="20163" w:h="12240" w:orient="landscape"/>
          <w:pgMar w:top="720" w:right="720" w:bottom="720" w:left="720" w:header="720" w:footer="720" w:gutter="0"/>
          <w:cols w:space="720"/>
        </w:sectPr>
      </w:pPr>
      <w:r>
        <w:rPr>
          <w:rFonts w:ascii="Garamond" w:hAnsi="Garamond"/>
          <w:sz w:val="20"/>
          <w:szCs w:val="20"/>
        </w:rPr>
        <w:t>Sources:   Texts (written, oral, behavioral, visual, or other) that writers draw on as they work for a variety of purposes -- to extend, argue with, develop, define, or shape their ideas, for example.</w:t>
      </w: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37BCADF7" w14:textId="77777777" w:rsidTr="00435328">
        <w:trPr>
          <w:trHeight w:val="311"/>
        </w:trPr>
        <w:tc>
          <w:tcPr>
            <w:tcW w:w="16704" w:type="dxa"/>
            <w:tcMar>
              <w:top w:w="0" w:type="dxa"/>
              <w:left w:w="0" w:type="dxa"/>
              <w:bottom w:w="0" w:type="dxa"/>
              <w:right w:w="0" w:type="dxa"/>
            </w:tcMar>
          </w:tcPr>
          <w:p w14:paraId="653B1368" w14:textId="77777777" w:rsidR="003A727A" w:rsidRDefault="003A727A" w:rsidP="00435328">
            <w:pPr>
              <w:pStyle w:val="Standard"/>
              <w:snapToGrid w:val="0"/>
              <w:jc w:val="center"/>
              <w:rPr>
                <w:rFonts w:ascii="Garamond" w:hAnsi="Garamond"/>
                <w:sz w:val="40"/>
                <w:szCs w:val="40"/>
              </w:rPr>
            </w:pPr>
            <w:r>
              <w:rPr>
                <w:rFonts w:ascii="Garamond" w:hAnsi="Garamond"/>
                <w:b/>
                <w:smallCaps/>
                <w:color w:val="000000"/>
                <w:sz w:val="40"/>
                <w:szCs w:val="40"/>
                <w:lang w:val="en-US"/>
              </w:rPr>
              <w:lastRenderedPageBreak/>
              <w:t xml:space="preserve">Written Communication </w:t>
            </w:r>
            <w:r>
              <w:rPr>
                <w:rFonts w:ascii="Garamond" w:hAnsi="Garamond"/>
                <w:b/>
                <w:smallCaps/>
                <w:color w:val="000000"/>
                <w:sz w:val="40"/>
                <w:szCs w:val="40"/>
              </w:rPr>
              <w:t>VALUE Rubric</w:t>
            </w:r>
          </w:p>
          <w:p w14:paraId="266473EB" w14:textId="77777777" w:rsidR="003A727A" w:rsidRDefault="003A727A" w:rsidP="00435328">
            <w:pPr>
              <w:pStyle w:val="Standard"/>
              <w:snapToGrid w:val="0"/>
              <w:jc w:val="center"/>
              <w:rPr>
                <w:rFonts w:ascii="Garamond" w:hAnsi="Garamond"/>
                <w:sz w:val="22"/>
                <w:szCs w:val="22"/>
              </w:rPr>
            </w:pPr>
            <w:r>
              <w:rPr>
                <w:rFonts w:ascii="Garamond" w:eastAsia="Helvetica" w:hAnsi="Garamond" w:cs="Helvetica"/>
                <w:i/>
                <w:sz w:val="22"/>
                <w:szCs w:val="22"/>
                <w:lang w:val="en-US"/>
              </w:rPr>
              <w:t>f</w:t>
            </w:r>
            <w:r>
              <w:rPr>
                <w:rFonts w:ascii="Garamond" w:eastAsia="Helvetica" w:hAnsi="Garamond" w:cs="Helvetica"/>
                <w:i/>
                <w:sz w:val="22"/>
                <w:szCs w:val="22"/>
              </w:rPr>
              <w:t>or more information</w:t>
            </w:r>
            <w:r>
              <w:rPr>
                <w:rFonts w:ascii="Garamond" w:eastAsia="Helvetica" w:hAnsi="Garamond" w:cs="Helvetica"/>
                <w:i/>
                <w:sz w:val="22"/>
                <w:szCs w:val="22"/>
                <w:lang w:val="en-US"/>
              </w:rPr>
              <w:t xml:space="preserve">, </w:t>
            </w:r>
            <w:r>
              <w:rPr>
                <w:rFonts w:ascii="Garamond" w:eastAsia="Helvetica" w:hAnsi="Garamond" w:cs="Helvetica"/>
                <w:i/>
                <w:sz w:val="22"/>
                <w:szCs w:val="22"/>
              </w:rPr>
              <w:t xml:space="preserve">please </w:t>
            </w:r>
            <w:r>
              <w:rPr>
                <w:rFonts w:ascii="Garamond" w:eastAsia="Helvetica" w:hAnsi="Garamond" w:cs="Helvetica"/>
                <w:i/>
                <w:sz w:val="22"/>
                <w:szCs w:val="22"/>
                <w:lang w:val="en-US"/>
              </w:rPr>
              <w:t>contact value</w:t>
            </w:r>
            <w:r>
              <w:rPr>
                <w:rFonts w:ascii="Garamond" w:eastAsia="Helvetica" w:hAnsi="Garamond" w:cs="Helvetica"/>
                <w:i/>
                <w:sz w:val="22"/>
                <w:szCs w:val="22"/>
              </w:rPr>
              <w:t>@</w:t>
            </w:r>
            <w:r>
              <w:rPr>
                <w:rFonts w:ascii="Garamond" w:eastAsia="Helvetica" w:hAnsi="Garamond" w:cs="Helvetica"/>
                <w:i/>
                <w:sz w:val="22"/>
                <w:szCs w:val="22"/>
                <w:lang w:val="en-US"/>
              </w:rPr>
              <w:t>aacu.org</w:t>
            </w:r>
          </w:p>
        </w:tc>
        <w:tc>
          <w:tcPr>
            <w:tcW w:w="1882" w:type="dxa"/>
            <w:tcMar>
              <w:top w:w="0" w:type="dxa"/>
              <w:left w:w="0" w:type="dxa"/>
              <w:bottom w:w="0" w:type="dxa"/>
              <w:right w:w="0" w:type="dxa"/>
            </w:tcMar>
          </w:tcPr>
          <w:p w14:paraId="76BFD0DD"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r>
              <w:rPr>
                <w:rFonts w:ascii="Garamond" w:hAnsi="Garamond"/>
                <w:noProof/>
                <w:sz w:val="22"/>
                <w:szCs w:val="22"/>
                <w:lang w:val="en-US"/>
              </w:rPr>
              <w:drawing>
                <wp:inline distT="0" distB="0" distL="0" distR="0" wp14:anchorId="18F0C827" wp14:editId="683B4061">
                  <wp:extent cx="1143000" cy="596900"/>
                  <wp:effectExtent l="0" t="0" r="0" b="12700"/>
                  <wp:docPr id="4"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596900"/>
                          </a:xfrm>
                          <a:prstGeom prst="rect">
                            <a:avLst/>
                          </a:prstGeom>
                          <a:solidFill>
                            <a:srgbClr val="FFFFFF"/>
                          </a:solidFill>
                          <a:ln>
                            <a:noFill/>
                          </a:ln>
                        </pic:spPr>
                      </pic:pic>
                    </a:graphicData>
                  </a:graphic>
                </wp:inline>
              </w:drawing>
            </w:r>
          </w:p>
        </w:tc>
      </w:tr>
    </w:tbl>
    <w:p w14:paraId="5C6AA3FC" w14:textId="77777777" w:rsidR="003A727A" w:rsidRDefault="003A727A" w:rsidP="003A727A">
      <w:pPr>
        <w:pStyle w:val="Standard"/>
        <w:jc w:val="center"/>
        <w:rPr>
          <w:rFonts w:ascii="Garamond" w:hAnsi="Garamond"/>
          <w:i/>
          <w:iCs/>
          <w:sz w:val="22"/>
          <w:szCs w:val="22"/>
        </w:rPr>
      </w:pPr>
    </w:p>
    <w:p w14:paraId="0221F0CA" w14:textId="77777777" w:rsidR="003A727A" w:rsidRDefault="003A727A" w:rsidP="003A727A">
      <w:pPr>
        <w:pStyle w:val="Standard"/>
        <w:jc w:val="center"/>
        <w:rPr>
          <w:rFonts w:ascii="Garamond" w:hAnsi="Garamond"/>
          <w:b/>
          <w:bCs/>
          <w:sz w:val="22"/>
          <w:szCs w:val="22"/>
        </w:rPr>
      </w:pPr>
      <w:r>
        <w:rPr>
          <w:rFonts w:ascii="Garamond" w:hAnsi="Garamond"/>
          <w:b/>
          <w:bCs/>
          <w:sz w:val="22"/>
          <w:szCs w:val="22"/>
        </w:rPr>
        <w:t>Definition</w:t>
      </w:r>
    </w:p>
    <w:p w14:paraId="6B1F1A9F" w14:textId="77777777" w:rsidR="003A727A" w:rsidRDefault="003A727A" w:rsidP="003A727A">
      <w:pPr>
        <w:pStyle w:val="Standard"/>
        <w:rPr>
          <w:rFonts w:ascii="Garamond" w:hAnsi="Garamond"/>
          <w:sz w:val="22"/>
          <w:szCs w:val="22"/>
        </w:rPr>
      </w:pPr>
      <w:r>
        <w:rPr>
          <w:rFonts w:ascii="Garamond" w:hAnsi="Garamond"/>
          <w:sz w:val="22"/>
          <w:szCs w:val="22"/>
        </w:rPr>
        <w:tab/>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234D2A2C" w14:textId="77777777" w:rsidR="003A727A" w:rsidRDefault="003A727A" w:rsidP="003A727A">
      <w:pPr>
        <w:pStyle w:val="Standard"/>
        <w:rPr>
          <w:rFonts w:ascii="Garamond" w:hAnsi="Garamond"/>
          <w:sz w:val="22"/>
          <w:szCs w:val="22"/>
        </w:rPr>
      </w:pPr>
    </w:p>
    <w:p w14:paraId="62578D75" w14:textId="77777777" w:rsidR="003A727A" w:rsidRDefault="003A727A" w:rsidP="003A727A">
      <w:pPr>
        <w:pStyle w:val="Standard"/>
        <w:jc w:val="center"/>
        <w:rPr>
          <w:rFonts w:ascii="Garamond" w:hAnsi="Garamond"/>
          <w:i/>
          <w:iCs/>
          <w:sz w:val="22"/>
          <w:szCs w:val="22"/>
        </w:rPr>
      </w:pPr>
      <w:r>
        <w:rPr>
          <w:rFonts w:ascii="Garamond" w:hAnsi="Garamond"/>
          <w:i/>
          <w:iCs/>
          <w:sz w:val="22"/>
          <w:szCs w:val="22"/>
        </w:rPr>
        <w:t>Evaluators are encouraged to assign a zero to any work sample or collection of work that does not meet benchmark (cell one) level performance.</w:t>
      </w:r>
    </w:p>
    <w:p w14:paraId="53DAB98A" w14:textId="77777777" w:rsidR="003A727A" w:rsidRDefault="003A727A" w:rsidP="003A727A">
      <w:pPr>
        <w:pStyle w:val="Standard"/>
        <w:jc w:val="center"/>
        <w:rPr>
          <w:rFonts w:ascii="Garamond" w:hAnsi="Garamond"/>
          <w:sz w:val="22"/>
          <w:szCs w:val="22"/>
        </w:rPr>
      </w:pPr>
    </w:p>
    <w:tbl>
      <w:tblPr>
        <w:tblW w:w="18723" w:type="dxa"/>
        <w:tblInd w:w="45" w:type="dxa"/>
        <w:tblLayout w:type="fixed"/>
        <w:tblCellMar>
          <w:left w:w="10" w:type="dxa"/>
          <w:right w:w="10" w:type="dxa"/>
        </w:tblCellMar>
        <w:tblLook w:val="0000" w:firstRow="0" w:lastRow="0" w:firstColumn="0" w:lastColumn="0" w:noHBand="0" w:noVBand="0"/>
      </w:tblPr>
      <w:tblGrid>
        <w:gridCol w:w="3743"/>
        <w:gridCol w:w="3745"/>
        <w:gridCol w:w="3744"/>
        <w:gridCol w:w="3745"/>
        <w:gridCol w:w="3746"/>
      </w:tblGrid>
      <w:tr w:rsidR="003A727A" w14:paraId="216E774C" w14:textId="77777777" w:rsidTr="00435328">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090CBC87" w14:textId="77777777" w:rsidR="003A727A" w:rsidRDefault="003A727A" w:rsidP="00435328">
            <w:pPr>
              <w:pStyle w:val="Standard"/>
              <w:jc w:val="center"/>
              <w:rPr>
                <w:b/>
                <w:bCs/>
                <w:sz w:val="22"/>
                <w:szCs w:val="22"/>
              </w:rPr>
            </w:pPr>
          </w:p>
        </w:tc>
        <w:tc>
          <w:tcPr>
            <w:tcW w:w="3745" w:type="dxa"/>
            <w:tcBorders>
              <w:top w:val="single" w:sz="2" w:space="0" w:color="000000"/>
              <w:left w:val="single" w:sz="2" w:space="0" w:color="000000"/>
              <w:bottom w:val="single" w:sz="2" w:space="0" w:color="000000"/>
            </w:tcBorders>
            <w:tcMar>
              <w:top w:w="55" w:type="dxa"/>
              <w:left w:w="55" w:type="dxa"/>
              <w:bottom w:w="55" w:type="dxa"/>
              <w:right w:w="55" w:type="dxa"/>
            </w:tcMar>
          </w:tcPr>
          <w:p w14:paraId="48A92EE8" w14:textId="77777777" w:rsidR="003A727A" w:rsidRDefault="003A727A" w:rsidP="00435328">
            <w:pPr>
              <w:pStyle w:val="Standard"/>
              <w:jc w:val="center"/>
              <w:rPr>
                <w:b/>
                <w:bCs/>
                <w:sz w:val="22"/>
                <w:szCs w:val="22"/>
              </w:rPr>
            </w:pPr>
            <w:r>
              <w:rPr>
                <w:b/>
                <w:bCs/>
                <w:sz w:val="22"/>
                <w:szCs w:val="22"/>
              </w:rPr>
              <w:t>Capstone</w:t>
            </w:r>
          </w:p>
          <w:p w14:paraId="1D794609" w14:textId="77777777" w:rsidR="003A727A" w:rsidRDefault="003A727A" w:rsidP="00435328">
            <w:pPr>
              <w:pStyle w:val="Standard"/>
              <w:jc w:val="center"/>
              <w:rPr>
                <w:sz w:val="22"/>
                <w:szCs w:val="22"/>
              </w:rPr>
            </w:pPr>
            <w:r>
              <w:rPr>
                <w:sz w:val="22"/>
                <w:szCs w:val="22"/>
              </w:rPr>
              <w:t>4</w:t>
            </w:r>
          </w:p>
        </w:tc>
        <w:tc>
          <w:tcPr>
            <w:tcW w:w="748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080933F" w14:textId="77777777" w:rsidR="003A727A" w:rsidRDefault="003A727A" w:rsidP="00435328">
            <w:pPr>
              <w:pStyle w:val="Standard"/>
              <w:jc w:val="center"/>
              <w:rPr>
                <w:b/>
                <w:bCs/>
                <w:sz w:val="22"/>
                <w:szCs w:val="22"/>
              </w:rPr>
            </w:pPr>
            <w:r>
              <w:rPr>
                <w:b/>
                <w:bCs/>
                <w:sz w:val="22"/>
                <w:szCs w:val="22"/>
              </w:rPr>
              <w:t>Milestones</w:t>
            </w:r>
          </w:p>
          <w:p w14:paraId="6F9DB8C4" w14:textId="77777777" w:rsidR="003A727A" w:rsidRDefault="003A727A" w:rsidP="00435328">
            <w:pPr>
              <w:pStyle w:val="Standard"/>
              <w:jc w:val="center"/>
              <w:rPr>
                <w:sz w:val="22"/>
                <w:szCs w:val="22"/>
              </w:rPr>
            </w:pPr>
            <w:r>
              <w:rPr>
                <w:sz w:val="22"/>
                <w:szCs w:val="22"/>
              </w:rPr>
              <w:t>3</w:t>
            </w:r>
            <w:r>
              <w:rPr>
                <w:sz w:val="22"/>
                <w:szCs w:val="22"/>
              </w:rPr>
              <w:tab/>
            </w:r>
            <w:r>
              <w:rPr>
                <w:sz w:val="22"/>
                <w:szCs w:val="22"/>
              </w:rPr>
              <w:tab/>
            </w:r>
            <w:r>
              <w:rPr>
                <w:sz w:val="22"/>
                <w:szCs w:val="22"/>
              </w:rPr>
              <w:tab/>
            </w:r>
            <w:r>
              <w:rPr>
                <w:sz w:val="22"/>
                <w:szCs w:val="22"/>
              </w:rPr>
              <w:tab/>
            </w:r>
            <w:r>
              <w:rPr>
                <w:sz w:val="22"/>
                <w:szCs w:val="22"/>
              </w:rPr>
              <w:tab/>
              <w:t>2</w:t>
            </w:r>
          </w:p>
        </w:tc>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C63217" w14:textId="77777777" w:rsidR="003A727A" w:rsidRDefault="003A727A" w:rsidP="00435328">
            <w:pPr>
              <w:pStyle w:val="Standard"/>
              <w:jc w:val="center"/>
              <w:rPr>
                <w:b/>
                <w:bCs/>
                <w:sz w:val="22"/>
                <w:szCs w:val="22"/>
              </w:rPr>
            </w:pPr>
            <w:r>
              <w:rPr>
                <w:b/>
                <w:bCs/>
                <w:sz w:val="22"/>
                <w:szCs w:val="22"/>
              </w:rPr>
              <w:t>Benchmark</w:t>
            </w:r>
          </w:p>
          <w:p w14:paraId="1E7C4BA3" w14:textId="77777777" w:rsidR="003A727A" w:rsidRDefault="003A727A" w:rsidP="00435328">
            <w:pPr>
              <w:pStyle w:val="Standard"/>
              <w:jc w:val="center"/>
              <w:rPr>
                <w:sz w:val="22"/>
                <w:szCs w:val="22"/>
              </w:rPr>
            </w:pPr>
            <w:r>
              <w:rPr>
                <w:sz w:val="22"/>
                <w:szCs w:val="22"/>
              </w:rPr>
              <w:t>1</w:t>
            </w:r>
          </w:p>
        </w:tc>
      </w:tr>
      <w:tr w:rsidR="003A727A" w14:paraId="11DC40A3"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25E3523D" w14:textId="77777777" w:rsidR="003A727A" w:rsidRDefault="003A727A" w:rsidP="00435328">
            <w:pPr>
              <w:pStyle w:val="Standard"/>
              <w:rPr>
                <w:b/>
                <w:bCs/>
                <w:sz w:val="22"/>
                <w:szCs w:val="22"/>
              </w:rPr>
            </w:pPr>
            <w:r>
              <w:rPr>
                <w:b/>
                <w:bCs/>
                <w:sz w:val="22"/>
                <w:szCs w:val="22"/>
              </w:rPr>
              <w:t xml:space="preserve">Context of and </w:t>
            </w:r>
            <w:r>
              <w:rPr>
                <w:b/>
                <w:bCs/>
                <w:sz w:val="22"/>
                <w:szCs w:val="22"/>
                <w:lang w:val="en-US"/>
              </w:rPr>
              <w:t>P</w:t>
            </w:r>
            <w:r>
              <w:rPr>
                <w:b/>
                <w:bCs/>
                <w:sz w:val="22"/>
                <w:szCs w:val="22"/>
              </w:rPr>
              <w:t xml:space="preserve">urpose for </w:t>
            </w:r>
            <w:r>
              <w:rPr>
                <w:b/>
                <w:bCs/>
                <w:sz w:val="22"/>
                <w:szCs w:val="22"/>
                <w:lang w:val="en-US"/>
              </w:rPr>
              <w:t>W</w:t>
            </w:r>
            <w:r>
              <w:rPr>
                <w:b/>
                <w:bCs/>
                <w:sz w:val="22"/>
                <w:szCs w:val="22"/>
              </w:rPr>
              <w:t>riting</w:t>
            </w:r>
          </w:p>
          <w:p w14:paraId="1CD6A768" w14:textId="77777777" w:rsidR="003A727A" w:rsidRDefault="003A727A" w:rsidP="00435328">
            <w:pPr>
              <w:pStyle w:val="Standard"/>
              <w:rPr>
                <w:i/>
                <w:iCs/>
                <w:sz w:val="22"/>
                <w:szCs w:val="22"/>
              </w:rPr>
            </w:pPr>
            <w:r>
              <w:rPr>
                <w:i/>
                <w:iCs/>
                <w:sz w:val="22"/>
                <w:szCs w:val="22"/>
              </w:rPr>
              <w:t>Includes considerations of audience, purpose, and the circumstances surrounding the writing task(s).</w:t>
            </w:r>
          </w:p>
        </w:tc>
        <w:tc>
          <w:tcPr>
            <w:tcW w:w="3745" w:type="dxa"/>
            <w:tcBorders>
              <w:left w:val="single" w:sz="2" w:space="0" w:color="000000"/>
              <w:bottom w:val="single" w:sz="2" w:space="0" w:color="000000"/>
            </w:tcBorders>
            <w:tcMar>
              <w:top w:w="55" w:type="dxa"/>
              <w:left w:w="55" w:type="dxa"/>
              <w:bottom w:w="55" w:type="dxa"/>
              <w:right w:w="55" w:type="dxa"/>
            </w:tcMar>
          </w:tcPr>
          <w:p w14:paraId="71E111ED" w14:textId="77777777" w:rsidR="003A727A" w:rsidRDefault="003A727A" w:rsidP="00435328">
            <w:pPr>
              <w:pStyle w:val="Standard"/>
              <w:rPr>
                <w:sz w:val="22"/>
                <w:szCs w:val="22"/>
              </w:rPr>
            </w:pPr>
            <w:r>
              <w:rPr>
                <w:sz w:val="22"/>
                <w:szCs w:val="22"/>
              </w:rPr>
              <w:t>Demonstrates a thorough understanding of context, audience, and purpose that is responsive to the assigned task(s) and focuses all elements of the work.</w:t>
            </w:r>
          </w:p>
        </w:tc>
        <w:tc>
          <w:tcPr>
            <w:tcW w:w="3744" w:type="dxa"/>
            <w:tcBorders>
              <w:left w:val="single" w:sz="2" w:space="0" w:color="000000"/>
              <w:bottom w:val="single" w:sz="2" w:space="0" w:color="000000"/>
            </w:tcBorders>
            <w:tcMar>
              <w:top w:w="55" w:type="dxa"/>
              <w:left w:w="55" w:type="dxa"/>
              <w:bottom w:w="55" w:type="dxa"/>
              <w:right w:w="55" w:type="dxa"/>
            </w:tcMar>
          </w:tcPr>
          <w:p w14:paraId="6279A66F" w14:textId="77777777" w:rsidR="003A727A" w:rsidRDefault="003A727A" w:rsidP="00435328">
            <w:pPr>
              <w:pStyle w:val="Standard"/>
              <w:rPr>
                <w:sz w:val="22"/>
                <w:szCs w:val="22"/>
              </w:rPr>
            </w:pPr>
            <w:r>
              <w:rPr>
                <w:sz w:val="22"/>
                <w:szCs w:val="22"/>
              </w:rPr>
              <w:t>Demonstrates adequate consideration of context, audience, and purpose and a clear focus on the assigned task(s) (e.g., the task aligns with audience, purpose, and context).</w:t>
            </w:r>
          </w:p>
        </w:tc>
        <w:tc>
          <w:tcPr>
            <w:tcW w:w="3745" w:type="dxa"/>
            <w:tcBorders>
              <w:left w:val="single" w:sz="2" w:space="0" w:color="000000"/>
              <w:bottom w:val="single" w:sz="2" w:space="0" w:color="000000"/>
            </w:tcBorders>
            <w:tcMar>
              <w:top w:w="55" w:type="dxa"/>
              <w:left w:w="55" w:type="dxa"/>
              <w:bottom w:w="55" w:type="dxa"/>
              <w:right w:w="55" w:type="dxa"/>
            </w:tcMar>
          </w:tcPr>
          <w:p w14:paraId="6FF2DB8B" w14:textId="77777777" w:rsidR="003A727A" w:rsidRDefault="003A727A" w:rsidP="00435328">
            <w:pPr>
              <w:pStyle w:val="Standard"/>
              <w:rPr>
                <w:sz w:val="22"/>
                <w:szCs w:val="22"/>
              </w:rPr>
            </w:pPr>
            <w:r>
              <w:rPr>
                <w:sz w:val="22"/>
                <w:szCs w:val="22"/>
              </w:rPr>
              <w:t>Demonstrates awareness of context, audience, purpose, and to the assigned tasks(s) (e.g., begins to show awareness of audience's perceptions and assumptions).</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DD60ED" w14:textId="77777777" w:rsidR="003A727A" w:rsidRDefault="003A727A" w:rsidP="00435328">
            <w:pPr>
              <w:pStyle w:val="Standard"/>
              <w:rPr>
                <w:sz w:val="22"/>
                <w:szCs w:val="22"/>
              </w:rPr>
            </w:pPr>
            <w:r>
              <w:rPr>
                <w:sz w:val="22"/>
                <w:szCs w:val="22"/>
              </w:rPr>
              <w:t>Demonstrates minimal attention to context, audience, purpose, and to the assigned tasks(s) (e.g., expectation of instructor or self as audience).</w:t>
            </w:r>
          </w:p>
        </w:tc>
      </w:tr>
      <w:tr w:rsidR="003A727A" w14:paraId="3E586311"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49A86D34" w14:textId="77777777" w:rsidR="003A727A" w:rsidRDefault="003A727A" w:rsidP="00435328">
            <w:pPr>
              <w:pStyle w:val="Standard"/>
              <w:rPr>
                <w:b/>
                <w:bCs/>
                <w:sz w:val="22"/>
                <w:szCs w:val="22"/>
              </w:rPr>
            </w:pPr>
            <w:r>
              <w:rPr>
                <w:b/>
                <w:bCs/>
                <w:sz w:val="22"/>
                <w:szCs w:val="22"/>
              </w:rPr>
              <w:t>Content Development</w:t>
            </w:r>
          </w:p>
        </w:tc>
        <w:tc>
          <w:tcPr>
            <w:tcW w:w="3745" w:type="dxa"/>
            <w:tcBorders>
              <w:left w:val="single" w:sz="2" w:space="0" w:color="000000"/>
              <w:bottom w:val="single" w:sz="2" w:space="0" w:color="000000"/>
            </w:tcBorders>
            <w:tcMar>
              <w:top w:w="55" w:type="dxa"/>
              <w:left w:w="55" w:type="dxa"/>
              <w:bottom w:w="55" w:type="dxa"/>
              <w:right w:w="55" w:type="dxa"/>
            </w:tcMar>
          </w:tcPr>
          <w:p w14:paraId="5D724260" w14:textId="77777777" w:rsidR="003A727A" w:rsidRDefault="003A727A" w:rsidP="00435328">
            <w:pPr>
              <w:pStyle w:val="Standard"/>
              <w:rPr>
                <w:sz w:val="22"/>
                <w:szCs w:val="22"/>
              </w:rPr>
            </w:pPr>
            <w:r>
              <w:rPr>
                <w:sz w:val="22"/>
                <w:szCs w:val="22"/>
              </w:rPr>
              <w:t>Uses appropriate, relevant, and compelling content to illustrate mastery of the subject, conveying the writer's understanding, and shaping the whole work.</w:t>
            </w:r>
          </w:p>
        </w:tc>
        <w:tc>
          <w:tcPr>
            <w:tcW w:w="3744" w:type="dxa"/>
            <w:tcBorders>
              <w:left w:val="single" w:sz="2" w:space="0" w:color="000000"/>
              <w:bottom w:val="single" w:sz="2" w:space="0" w:color="000000"/>
            </w:tcBorders>
            <w:tcMar>
              <w:top w:w="55" w:type="dxa"/>
              <w:left w:w="55" w:type="dxa"/>
              <w:bottom w:w="55" w:type="dxa"/>
              <w:right w:w="55" w:type="dxa"/>
            </w:tcMar>
          </w:tcPr>
          <w:p w14:paraId="03693897" w14:textId="77777777" w:rsidR="003A727A" w:rsidRPr="00C36CE5" w:rsidRDefault="003A727A" w:rsidP="00435328">
            <w:pPr>
              <w:pStyle w:val="Standard"/>
              <w:rPr>
                <w:sz w:val="22"/>
                <w:szCs w:val="22"/>
                <w:lang w:val="en-US"/>
              </w:rPr>
            </w:pPr>
            <w:r>
              <w:rPr>
                <w:sz w:val="22"/>
                <w:szCs w:val="22"/>
              </w:rPr>
              <w:t>Uses appropriate, relevant, and compelling content to explore ideas within the context of the discipline and shape the whole work</w:t>
            </w:r>
            <w:r>
              <w:rPr>
                <w:sz w:val="22"/>
                <w:szCs w:val="22"/>
                <w:lang w:val="en-US"/>
              </w:rPr>
              <w:t>.</w:t>
            </w:r>
          </w:p>
          <w:p w14:paraId="76ACB8EB" w14:textId="77777777" w:rsidR="003A727A" w:rsidRDefault="003A727A" w:rsidP="00435328">
            <w:pPr>
              <w:pStyle w:val="Standard"/>
              <w:rPr>
                <w:sz w:val="22"/>
                <w:szCs w:val="22"/>
              </w:rPr>
            </w:pPr>
          </w:p>
        </w:tc>
        <w:tc>
          <w:tcPr>
            <w:tcW w:w="3745" w:type="dxa"/>
            <w:tcBorders>
              <w:left w:val="single" w:sz="2" w:space="0" w:color="000000"/>
              <w:bottom w:val="single" w:sz="2" w:space="0" w:color="000000"/>
            </w:tcBorders>
            <w:tcMar>
              <w:top w:w="55" w:type="dxa"/>
              <w:left w:w="55" w:type="dxa"/>
              <w:bottom w:w="55" w:type="dxa"/>
              <w:right w:w="55" w:type="dxa"/>
            </w:tcMar>
          </w:tcPr>
          <w:p w14:paraId="5B3EF4D3" w14:textId="77777777" w:rsidR="003A727A" w:rsidRDefault="003A727A" w:rsidP="00435328">
            <w:pPr>
              <w:pStyle w:val="Standard"/>
              <w:rPr>
                <w:sz w:val="22"/>
                <w:szCs w:val="22"/>
              </w:rPr>
            </w:pPr>
            <w:r>
              <w:rPr>
                <w:sz w:val="22"/>
                <w:szCs w:val="22"/>
              </w:rPr>
              <w:t>Uses appropriate and relevant content to develop and explore ideas through most of the work.</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431A65" w14:textId="77777777" w:rsidR="003A727A" w:rsidRDefault="003A727A" w:rsidP="00435328">
            <w:pPr>
              <w:pStyle w:val="Standard"/>
              <w:rPr>
                <w:sz w:val="22"/>
                <w:szCs w:val="22"/>
              </w:rPr>
            </w:pPr>
            <w:r>
              <w:rPr>
                <w:sz w:val="22"/>
                <w:szCs w:val="22"/>
              </w:rPr>
              <w:t>Uses appropriate and relevant content to develop simple ideas in some parts of the work.</w:t>
            </w:r>
          </w:p>
        </w:tc>
      </w:tr>
      <w:tr w:rsidR="003A727A" w14:paraId="70F1BD32"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5FDD5CDD" w14:textId="77777777" w:rsidR="003A727A" w:rsidRDefault="003A727A" w:rsidP="00435328">
            <w:pPr>
              <w:pStyle w:val="Standard"/>
              <w:rPr>
                <w:b/>
                <w:bCs/>
                <w:sz w:val="22"/>
                <w:szCs w:val="22"/>
              </w:rPr>
            </w:pPr>
            <w:r>
              <w:rPr>
                <w:b/>
                <w:bCs/>
                <w:sz w:val="22"/>
                <w:szCs w:val="22"/>
              </w:rPr>
              <w:t xml:space="preserve">Genre and </w:t>
            </w:r>
            <w:r>
              <w:rPr>
                <w:b/>
                <w:bCs/>
                <w:sz w:val="22"/>
                <w:szCs w:val="22"/>
                <w:lang w:val="en-US"/>
              </w:rPr>
              <w:t>D</w:t>
            </w:r>
            <w:r>
              <w:rPr>
                <w:b/>
                <w:bCs/>
                <w:sz w:val="22"/>
                <w:szCs w:val="22"/>
              </w:rPr>
              <w:t xml:space="preserve">isciplinary </w:t>
            </w:r>
            <w:r>
              <w:rPr>
                <w:b/>
                <w:bCs/>
                <w:sz w:val="22"/>
                <w:szCs w:val="22"/>
                <w:lang w:val="en-US"/>
              </w:rPr>
              <w:t>C</w:t>
            </w:r>
            <w:r>
              <w:rPr>
                <w:b/>
                <w:bCs/>
                <w:sz w:val="22"/>
                <w:szCs w:val="22"/>
              </w:rPr>
              <w:t>onventions</w:t>
            </w:r>
          </w:p>
          <w:p w14:paraId="4A407462" w14:textId="77777777" w:rsidR="003A727A" w:rsidRDefault="003A727A" w:rsidP="00435328">
            <w:pPr>
              <w:pStyle w:val="Standard"/>
              <w:rPr>
                <w:i/>
                <w:iCs/>
                <w:sz w:val="22"/>
                <w:szCs w:val="22"/>
              </w:rPr>
            </w:pPr>
            <w:r>
              <w:rPr>
                <w:i/>
                <w:iCs/>
                <w:sz w:val="22"/>
                <w:szCs w:val="22"/>
              </w:rPr>
              <w:t>Formal and informal rules inherent in the expectations for writing in particular forms and/or academic fields (please see glossary).</w:t>
            </w:r>
          </w:p>
        </w:tc>
        <w:tc>
          <w:tcPr>
            <w:tcW w:w="3745" w:type="dxa"/>
            <w:tcBorders>
              <w:left w:val="single" w:sz="2" w:space="0" w:color="000000"/>
              <w:bottom w:val="single" w:sz="2" w:space="0" w:color="000000"/>
            </w:tcBorders>
            <w:tcMar>
              <w:top w:w="55" w:type="dxa"/>
              <w:left w:w="55" w:type="dxa"/>
              <w:bottom w:w="55" w:type="dxa"/>
              <w:right w:w="55" w:type="dxa"/>
            </w:tcMar>
          </w:tcPr>
          <w:p w14:paraId="25BDB53C" w14:textId="77777777" w:rsidR="003A727A" w:rsidRDefault="003A727A" w:rsidP="00435328">
            <w:pPr>
              <w:pStyle w:val="Standard"/>
              <w:rPr>
                <w:sz w:val="22"/>
                <w:szCs w:val="22"/>
              </w:rPr>
            </w:pPr>
            <w:r>
              <w:rPr>
                <w:sz w:val="22"/>
                <w:szCs w:val="22"/>
              </w:rPr>
              <w:t>Demonstrates detailed attention to and successful execution of a wide range of conventions particular to a specific discipline and/or writing task (s) including  organization, content, presentation, formatting, and stylistic choices</w:t>
            </w:r>
          </w:p>
        </w:tc>
        <w:tc>
          <w:tcPr>
            <w:tcW w:w="3744" w:type="dxa"/>
            <w:tcBorders>
              <w:left w:val="single" w:sz="2" w:space="0" w:color="000000"/>
              <w:bottom w:val="single" w:sz="2" w:space="0" w:color="000000"/>
            </w:tcBorders>
            <w:tcMar>
              <w:top w:w="55" w:type="dxa"/>
              <w:left w:w="55" w:type="dxa"/>
              <w:bottom w:w="55" w:type="dxa"/>
              <w:right w:w="55" w:type="dxa"/>
            </w:tcMar>
          </w:tcPr>
          <w:p w14:paraId="79DE8C45" w14:textId="77777777" w:rsidR="003A727A" w:rsidRDefault="003A727A" w:rsidP="00435328">
            <w:pPr>
              <w:pStyle w:val="Standard"/>
              <w:rPr>
                <w:sz w:val="22"/>
                <w:szCs w:val="22"/>
              </w:rPr>
            </w:pPr>
            <w:r>
              <w:rPr>
                <w:sz w:val="22"/>
                <w:szCs w:val="22"/>
              </w:rPr>
              <w:t>Demonstrates consistent use of important conventions particular to a specific discipline and/or writing task(s), including organization, content, presentation, and stylistic choices</w:t>
            </w:r>
          </w:p>
        </w:tc>
        <w:tc>
          <w:tcPr>
            <w:tcW w:w="3745" w:type="dxa"/>
            <w:tcBorders>
              <w:left w:val="single" w:sz="2" w:space="0" w:color="000000"/>
              <w:bottom w:val="single" w:sz="2" w:space="0" w:color="000000"/>
            </w:tcBorders>
            <w:tcMar>
              <w:top w:w="55" w:type="dxa"/>
              <w:left w:w="55" w:type="dxa"/>
              <w:bottom w:w="55" w:type="dxa"/>
              <w:right w:w="55" w:type="dxa"/>
            </w:tcMar>
          </w:tcPr>
          <w:p w14:paraId="69B82C39" w14:textId="77777777" w:rsidR="003A727A" w:rsidRDefault="003A727A" w:rsidP="00435328">
            <w:pPr>
              <w:pStyle w:val="Standard"/>
              <w:rPr>
                <w:sz w:val="22"/>
                <w:szCs w:val="22"/>
              </w:rPr>
            </w:pPr>
            <w:r>
              <w:rPr>
                <w:sz w:val="22"/>
                <w:szCs w:val="22"/>
              </w:rPr>
              <w:t>Follows expectations appropriate to a specific discipline and/or writing task(s) for basic organization, content, and presentation</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857BF8" w14:textId="77777777" w:rsidR="003A727A" w:rsidRPr="00C36CE5" w:rsidRDefault="003A727A" w:rsidP="00435328">
            <w:pPr>
              <w:pStyle w:val="Standard"/>
              <w:rPr>
                <w:sz w:val="22"/>
                <w:szCs w:val="22"/>
                <w:lang w:val="en-US"/>
              </w:rPr>
            </w:pPr>
            <w:r>
              <w:rPr>
                <w:sz w:val="22"/>
                <w:szCs w:val="22"/>
              </w:rPr>
              <w:t>Attempts to use a consistent system for basic organization and presentation</w:t>
            </w:r>
            <w:r>
              <w:rPr>
                <w:sz w:val="22"/>
                <w:szCs w:val="22"/>
                <w:lang w:val="en-US"/>
              </w:rPr>
              <w:t>.</w:t>
            </w:r>
          </w:p>
        </w:tc>
      </w:tr>
      <w:tr w:rsidR="003A727A" w14:paraId="63B65E1D"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04F41AC8" w14:textId="77777777" w:rsidR="003A727A" w:rsidRDefault="003A727A" w:rsidP="00435328">
            <w:pPr>
              <w:pStyle w:val="Standard"/>
              <w:rPr>
                <w:b/>
                <w:bCs/>
                <w:sz w:val="22"/>
                <w:szCs w:val="22"/>
              </w:rPr>
            </w:pPr>
            <w:r>
              <w:rPr>
                <w:b/>
                <w:bCs/>
                <w:sz w:val="22"/>
                <w:szCs w:val="22"/>
              </w:rPr>
              <w:t xml:space="preserve">Sources and </w:t>
            </w:r>
            <w:r>
              <w:rPr>
                <w:b/>
                <w:bCs/>
                <w:sz w:val="22"/>
                <w:szCs w:val="22"/>
                <w:lang w:val="en-US"/>
              </w:rPr>
              <w:t>E</w:t>
            </w:r>
            <w:r>
              <w:rPr>
                <w:b/>
                <w:bCs/>
                <w:sz w:val="22"/>
                <w:szCs w:val="22"/>
              </w:rPr>
              <w:t>vidence</w:t>
            </w:r>
          </w:p>
        </w:tc>
        <w:tc>
          <w:tcPr>
            <w:tcW w:w="3745" w:type="dxa"/>
            <w:tcBorders>
              <w:left w:val="single" w:sz="2" w:space="0" w:color="000000"/>
              <w:bottom w:val="single" w:sz="2" w:space="0" w:color="000000"/>
            </w:tcBorders>
            <w:tcMar>
              <w:top w:w="55" w:type="dxa"/>
              <w:left w:w="55" w:type="dxa"/>
              <w:bottom w:w="55" w:type="dxa"/>
              <w:right w:w="55" w:type="dxa"/>
            </w:tcMar>
          </w:tcPr>
          <w:p w14:paraId="23B428A0" w14:textId="77777777" w:rsidR="003A727A" w:rsidRDefault="003A727A" w:rsidP="00435328">
            <w:pPr>
              <w:pStyle w:val="Standard"/>
              <w:rPr>
                <w:sz w:val="22"/>
                <w:szCs w:val="22"/>
              </w:rPr>
            </w:pPr>
            <w:r>
              <w:rPr>
                <w:sz w:val="22"/>
                <w:szCs w:val="22"/>
              </w:rPr>
              <w:t>Demonstrates skillful use of high</w:t>
            </w:r>
            <w:r>
              <w:rPr>
                <w:sz w:val="22"/>
                <w:szCs w:val="22"/>
                <w:lang w:val="en-US"/>
              </w:rPr>
              <w:t>-</w:t>
            </w:r>
            <w:r>
              <w:rPr>
                <w:sz w:val="22"/>
                <w:szCs w:val="22"/>
              </w:rPr>
              <w:t>quality, credible, relevant sources to develop ideas that are appropriate for the discipline and genre of the writing</w:t>
            </w:r>
          </w:p>
        </w:tc>
        <w:tc>
          <w:tcPr>
            <w:tcW w:w="3744" w:type="dxa"/>
            <w:tcBorders>
              <w:left w:val="single" w:sz="2" w:space="0" w:color="000000"/>
              <w:bottom w:val="single" w:sz="2" w:space="0" w:color="000000"/>
            </w:tcBorders>
            <w:tcMar>
              <w:top w:w="55" w:type="dxa"/>
              <w:left w:w="55" w:type="dxa"/>
              <w:bottom w:w="55" w:type="dxa"/>
              <w:right w:w="55" w:type="dxa"/>
            </w:tcMar>
          </w:tcPr>
          <w:p w14:paraId="51873DEB" w14:textId="77777777" w:rsidR="003A727A" w:rsidRDefault="003A727A" w:rsidP="00435328">
            <w:pPr>
              <w:pStyle w:val="Standard"/>
              <w:rPr>
                <w:sz w:val="22"/>
                <w:szCs w:val="22"/>
              </w:rPr>
            </w:pPr>
            <w:r>
              <w:rPr>
                <w:sz w:val="22"/>
                <w:szCs w:val="22"/>
              </w:rPr>
              <w:t>Demonstrates consistent use of credible, relevant sources to support ideas that are situated within the discipline and genre of the writing.</w:t>
            </w:r>
          </w:p>
        </w:tc>
        <w:tc>
          <w:tcPr>
            <w:tcW w:w="3745" w:type="dxa"/>
            <w:tcBorders>
              <w:left w:val="single" w:sz="2" w:space="0" w:color="000000"/>
              <w:bottom w:val="single" w:sz="2" w:space="0" w:color="000000"/>
            </w:tcBorders>
            <w:tcMar>
              <w:top w:w="55" w:type="dxa"/>
              <w:left w:w="55" w:type="dxa"/>
              <w:bottom w:w="55" w:type="dxa"/>
              <w:right w:w="55" w:type="dxa"/>
            </w:tcMar>
          </w:tcPr>
          <w:p w14:paraId="4C5F3843" w14:textId="77777777" w:rsidR="003A727A" w:rsidRDefault="003A727A" w:rsidP="00435328">
            <w:pPr>
              <w:pStyle w:val="Standard"/>
              <w:rPr>
                <w:sz w:val="22"/>
                <w:szCs w:val="22"/>
              </w:rPr>
            </w:pPr>
            <w:r>
              <w:rPr>
                <w:sz w:val="22"/>
                <w:szCs w:val="22"/>
              </w:rPr>
              <w:t>Demonstrates an attempt to use credible and/or relevant sources to support ideas that are appropriate for the discipline and genre of the writing.</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E3EA6" w14:textId="77777777" w:rsidR="003A727A" w:rsidRDefault="003A727A" w:rsidP="00435328">
            <w:pPr>
              <w:pStyle w:val="Standard"/>
              <w:rPr>
                <w:sz w:val="22"/>
                <w:szCs w:val="22"/>
              </w:rPr>
            </w:pPr>
            <w:r>
              <w:rPr>
                <w:sz w:val="22"/>
                <w:szCs w:val="22"/>
              </w:rPr>
              <w:t>Demonstrates an attempt to use sources to support ideas in the writing.</w:t>
            </w:r>
          </w:p>
        </w:tc>
      </w:tr>
      <w:tr w:rsidR="003A727A" w14:paraId="64C8DC8C"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66456975" w14:textId="77777777" w:rsidR="003A727A" w:rsidRDefault="003A727A" w:rsidP="00435328">
            <w:pPr>
              <w:pStyle w:val="Standard"/>
              <w:rPr>
                <w:b/>
                <w:bCs/>
                <w:sz w:val="22"/>
                <w:szCs w:val="22"/>
              </w:rPr>
            </w:pPr>
            <w:r>
              <w:rPr>
                <w:b/>
                <w:bCs/>
                <w:sz w:val="22"/>
                <w:szCs w:val="22"/>
              </w:rPr>
              <w:t xml:space="preserve">Control of Syntax and </w:t>
            </w:r>
            <w:r>
              <w:rPr>
                <w:b/>
                <w:bCs/>
                <w:sz w:val="22"/>
                <w:szCs w:val="22"/>
                <w:lang w:val="en-US"/>
              </w:rPr>
              <w:t>M</w:t>
            </w:r>
            <w:r>
              <w:rPr>
                <w:b/>
                <w:bCs/>
                <w:sz w:val="22"/>
                <w:szCs w:val="22"/>
              </w:rPr>
              <w:t>echanics</w:t>
            </w:r>
          </w:p>
        </w:tc>
        <w:tc>
          <w:tcPr>
            <w:tcW w:w="3745" w:type="dxa"/>
            <w:tcBorders>
              <w:left w:val="single" w:sz="2" w:space="0" w:color="000000"/>
              <w:bottom w:val="single" w:sz="2" w:space="0" w:color="000000"/>
            </w:tcBorders>
            <w:tcMar>
              <w:top w:w="55" w:type="dxa"/>
              <w:left w:w="55" w:type="dxa"/>
              <w:bottom w:w="55" w:type="dxa"/>
              <w:right w:w="55" w:type="dxa"/>
            </w:tcMar>
          </w:tcPr>
          <w:p w14:paraId="0FEB8F10" w14:textId="77777777" w:rsidR="003A727A" w:rsidRDefault="003A727A" w:rsidP="00435328">
            <w:pPr>
              <w:pStyle w:val="Standard"/>
              <w:rPr>
                <w:sz w:val="22"/>
                <w:szCs w:val="22"/>
              </w:rPr>
            </w:pPr>
            <w:r>
              <w:rPr>
                <w:sz w:val="22"/>
                <w:szCs w:val="22"/>
              </w:rPr>
              <w:t>Uses graceful language that skillfully communicates meaning to readers with clarity and fluency, and is virtually error-free.</w:t>
            </w:r>
          </w:p>
        </w:tc>
        <w:tc>
          <w:tcPr>
            <w:tcW w:w="3744" w:type="dxa"/>
            <w:tcBorders>
              <w:left w:val="single" w:sz="2" w:space="0" w:color="000000"/>
              <w:bottom w:val="single" w:sz="2" w:space="0" w:color="000000"/>
            </w:tcBorders>
            <w:tcMar>
              <w:top w:w="55" w:type="dxa"/>
              <w:left w:w="55" w:type="dxa"/>
              <w:bottom w:w="55" w:type="dxa"/>
              <w:right w:w="55" w:type="dxa"/>
            </w:tcMar>
          </w:tcPr>
          <w:p w14:paraId="5ADC1F52" w14:textId="77777777" w:rsidR="003A727A" w:rsidRDefault="003A727A" w:rsidP="00435328">
            <w:pPr>
              <w:pStyle w:val="Standard"/>
              <w:rPr>
                <w:sz w:val="22"/>
                <w:szCs w:val="22"/>
              </w:rPr>
            </w:pPr>
            <w:r>
              <w:rPr>
                <w:sz w:val="22"/>
                <w:szCs w:val="22"/>
              </w:rPr>
              <w:t>Uses straightforward language that generally conveys meaning to readers. The language in the portfolio has few errors.</w:t>
            </w:r>
          </w:p>
        </w:tc>
        <w:tc>
          <w:tcPr>
            <w:tcW w:w="3745" w:type="dxa"/>
            <w:tcBorders>
              <w:left w:val="single" w:sz="2" w:space="0" w:color="000000"/>
              <w:bottom w:val="single" w:sz="2" w:space="0" w:color="000000"/>
            </w:tcBorders>
            <w:tcMar>
              <w:top w:w="55" w:type="dxa"/>
              <w:left w:w="55" w:type="dxa"/>
              <w:bottom w:w="55" w:type="dxa"/>
              <w:right w:w="55" w:type="dxa"/>
            </w:tcMar>
          </w:tcPr>
          <w:p w14:paraId="49AA63B5" w14:textId="77777777" w:rsidR="003A727A" w:rsidRDefault="003A727A" w:rsidP="00435328">
            <w:pPr>
              <w:pStyle w:val="Standard"/>
              <w:rPr>
                <w:sz w:val="22"/>
                <w:szCs w:val="22"/>
              </w:rPr>
            </w:pPr>
            <w:r>
              <w:rPr>
                <w:sz w:val="22"/>
                <w:szCs w:val="22"/>
              </w:rPr>
              <w:t>Uses language that generally conveys meaning to readers with clarity, although writing may include some errors.</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BFE535" w14:textId="77777777" w:rsidR="003A727A" w:rsidRPr="00C36CE5" w:rsidRDefault="003A727A" w:rsidP="00435328">
            <w:pPr>
              <w:pStyle w:val="Standard"/>
              <w:rPr>
                <w:sz w:val="22"/>
                <w:szCs w:val="22"/>
                <w:lang w:val="en-US"/>
              </w:rPr>
            </w:pPr>
            <w:r>
              <w:rPr>
                <w:sz w:val="22"/>
                <w:szCs w:val="22"/>
              </w:rPr>
              <w:t>Uses language that sometimes impedes meaning because of errors in usage</w:t>
            </w:r>
            <w:r>
              <w:rPr>
                <w:sz w:val="22"/>
                <w:szCs w:val="22"/>
                <w:lang w:val="en-US"/>
              </w:rPr>
              <w:t>.</w:t>
            </w:r>
          </w:p>
        </w:tc>
      </w:tr>
    </w:tbl>
    <w:p w14:paraId="08C1CCD7" w14:textId="77777777" w:rsidR="003A727A" w:rsidRDefault="003A727A" w:rsidP="003A727A">
      <w:pPr>
        <w:pStyle w:val="Standard"/>
        <w:rPr>
          <w:rFonts w:ascii="Garamond" w:hAnsi="Garamond"/>
          <w:sz w:val="22"/>
          <w:szCs w:val="22"/>
        </w:rPr>
      </w:pP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24B2EF9D" w14:textId="77777777" w:rsidTr="00435328">
        <w:trPr>
          <w:trHeight w:val="311"/>
        </w:trPr>
        <w:tc>
          <w:tcPr>
            <w:tcW w:w="16704" w:type="dxa"/>
            <w:tcMar>
              <w:top w:w="0" w:type="dxa"/>
              <w:left w:w="0" w:type="dxa"/>
              <w:bottom w:w="0" w:type="dxa"/>
              <w:right w:w="0" w:type="dxa"/>
            </w:tcMar>
          </w:tcPr>
          <w:p w14:paraId="0DDC0FC0" w14:textId="77777777" w:rsidR="003A727A" w:rsidRDefault="003A727A" w:rsidP="00435328">
            <w:pPr>
              <w:pStyle w:val="Standard"/>
              <w:snapToGrid w:val="0"/>
              <w:jc w:val="center"/>
              <w:rPr>
                <w:rFonts w:ascii="Garamond" w:hAnsi="Garamond"/>
                <w:b/>
                <w:smallCaps/>
                <w:color w:val="000000"/>
                <w:sz w:val="40"/>
                <w:szCs w:val="40"/>
              </w:rPr>
            </w:pPr>
            <w:r>
              <w:rPr>
                <w:rFonts w:ascii="Garamond" w:hAnsi="Garamond"/>
                <w:b/>
                <w:smallCaps/>
                <w:color w:val="000000"/>
                <w:sz w:val="40"/>
                <w:szCs w:val="40"/>
              </w:rPr>
              <w:lastRenderedPageBreak/>
              <w:softHyphen/>
              <w:t>Quantitative Literacy VALUE Rubric</w:t>
            </w:r>
          </w:p>
          <w:p w14:paraId="4E5502B4" w14:textId="77777777" w:rsidR="003A727A" w:rsidRDefault="003A727A" w:rsidP="00435328">
            <w:pPr>
              <w:pStyle w:val="Standard"/>
              <w:snapToGrid w:val="0"/>
              <w:jc w:val="center"/>
            </w:pPr>
            <w:r>
              <w:rPr>
                <w:rFonts w:ascii="Garamond" w:eastAsia="Helvetica" w:hAnsi="Garamond" w:cs="Helvetica"/>
                <w:i/>
                <w:lang w:val="en-US"/>
              </w:rPr>
              <w:t>f</w:t>
            </w:r>
            <w:r>
              <w:rPr>
                <w:rFonts w:ascii="Garamond" w:eastAsia="Helvetica" w:hAnsi="Garamond" w:cs="Helvetica"/>
                <w:i/>
              </w:rPr>
              <w:t>or more information</w:t>
            </w:r>
            <w:r>
              <w:rPr>
                <w:rFonts w:ascii="Garamond" w:eastAsia="Helvetica" w:hAnsi="Garamond" w:cs="Helvetica"/>
                <w:i/>
                <w:lang w:val="en-US"/>
              </w:rPr>
              <w:t xml:space="preserve">, </w:t>
            </w:r>
            <w:r>
              <w:rPr>
                <w:rFonts w:ascii="Garamond" w:eastAsia="Helvetica" w:hAnsi="Garamond" w:cs="Helvetica"/>
                <w:i/>
              </w:rPr>
              <w:t xml:space="preserve">please </w:t>
            </w:r>
            <w:r>
              <w:rPr>
                <w:rFonts w:ascii="Garamond" w:eastAsia="Helvetica" w:hAnsi="Garamond" w:cs="Helvetica"/>
                <w:i/>
                <w:lang w:val="en-US"/>
              </w:rPr>
              <w:t>contact value</w:t>
            </w:r>
            <w:r>
              <w:rPr>
                <w:rFonts w:ascii="Garamond" w:eastAsia="Helvetica" w:hAnsi="Garamond" w:cs="Helvetica"/>
                <w:i/>
              </w:rPr>
              <w:t>@</w:t>
            </w:r>
            <w:r>
              <w:rPr>
                <w:rFonts w:ascii="Garamond" w:eastAsia="Helvetica" w:hAnsi="Garamond" w:cs="Helvetica"/>
                <w:i/>
                <w:lang w:val="en-US"/>
              </w:rPr>
              <w:t>aacu.org</w:t>
            </w:r>
          </w:p>
        </w:tc>
        <w:tc>
          <w:tcPr>
            <w:tcW w:w="1882" w:type="dxa"/>
            <w:tcMar>
              <w:top w:w="0" w:type="dxa"/>
              <w:left w:w="0" w:type="dxa"/>
              <w:bottom w:w="0" w:type="dxa"/>
              <w:right w:w="0" w:type="dxa"/>
            </w:tcMar>
          </w:tcPr>
          <w:p w14:paraId="2E5597F2"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0"/>
                <w:szCs w:val="20"/>
              </w:rPr>
            </w:pPr>
            <w:r>
              <w:rPr>
                <w:rFonts w:ascii="Garamond" w:hAnsi="Garamond"/>
                <w:noProof/>
                <w:sz w:val="20"/>
                <w:szCs w:val="20"/>
                <w:lang w:val="en-US"/>
              </w:rPr>
              <w:drawing>
                <wp:inline distT="0" distB="0" distL="0" distR="0" wp14:anchorId="4421BCA1" wp14:editId="5D4E3BD6">
                  <wp:extent cx="1143000" cy="596900"/>
                  <wp:effectExtent l="25400" t="0" r="0" b="0"/>
                  <wp:docPr id="2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3"/>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14:paraId="7F9F258F" w14:textId="77777777" w:rsidR="003A727A" w:rsidRDefault="003A727A" w:rsidP="003A727A">
      <w:pPr>
        <w:pStyle w:val="Standard"/>
        <w:rPr>
          <w:rFonts w:ascii="Garamond" w:hAnsi="Garamond"/>
          <w:sz w:val="22"/>
          <w:szCs w:val="22"/>
        </w:rPr>
      </w:pPr>
    </w:p>
    <w:p w14:paraId="1770E2C0" w14:textId="77777777" w:rsidR="003A727A" w:rsidRDefault="003A727A" w:rsidP="003A727A">
      <w:pPr>
        <w:pStyle w:val="Standard"/>
        <w:rPr>
          <w:rFonts w:ascii="Garamond" w:hAnsi="Garamond"/>
          <w:sz w:val="22"/>
          <w:szCs w:val="22"/>
        </w:rPr>
      </w:pPr>
      <w:r>
        <w:rPr>
          <w:rFonts w:ascii="Garamond" w:hAnsi="Garamond"/>
          <w:sz w:val="22"/>
          <w:szCs w:val="22"/>
        </w:rPr>
        <w:tab/>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60B7A6B5" w14:textId="77777777" w:rsidR="003A727A" w:rsidRDefault="003A727A" w:rsidP="003A727A">
      <w:pPr>
        <w:pStyle w:val="Standard"/>
        <w:rPr>
          <w:rFonts w:ascii="Garamond" w:hAnsi="Garamond"/>
          <w:sz w:val="22"/>
          <w:szCs w:val="22"/>
        </w:rPr>
      </w:pPr>
    </w:p>
    <w:p w14:paraId="0083481F" w14:textId="77777777" w:rsidR="003A727A" w:rsidRDefault="003A727A" w:rsidP="003A727A">
      <w:pPr>
        <w:pStyle w:val="Standard"/>
        <w:jc w:val="center"/>
        <w:rPr>
          <w:rFonts w:ascii="Garamond" w:hAnsi="Garamond"/>
          <w:b/>
          <w:bCs/>
          <w:sz w:val="22"/>
          <w:szCs w:val="22"/>
        </w:rPr>
      </w:pPr>
      <w:r>
        <w:rPr>
          <w:rFonts w:ascii="Garamond" w:hAnsi="Garamond"/>
          <w:b/>
          <w:bCs/>
          <w:sz w:val="22"/>
          <w:szCs w:val="22"/>
        </w:rPr>
        <w:t>Definition</w:t>
      </w:r>
    </w:p>
    <w:p w14:paraId="477282FC" w14:textId="77777777" w:rsidR="003A727A" w:rsidRDefault="003A727A" w:rsidP="003A727A">
      <w:pPr>
        <w:pStyle w:val="Standard"/>
        <w:rPr>
          <w:rFonts w:ascii="Garamond" w:hAnsi="Garamond"/>
          <w:sz w:val="22"/>
          <w:szCs w:val="22"/>
        </w:rPr>
      </w:pPr>
      <w:r>
        <w:rPr>
          <w:rFonts w:ascii="Garamond" w:hAnsi="Garamond"/>
          <w:sz w:val="22"/>
          <w:szCs w:val="22"/>
        </w:rPr>
        <w:tab/>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0F17E075" w14:textId="77777777" w:rsidR="003A727A" w:rsidRDefault="003A727A" w:rsidP="003A727A">
      <w:pPr>
        <w:pStyle w:val="Standard"/>
        <w:rPr>
          <w:rFonts w:ascii="Garamond" w:hAnsi="Garamond"/>
          <w:sz w:val="22"/>
          <w:szCs w:val="22"/>
        </w:rPr>
      </w:pPr>
    </w:p>
    <w:p w14:paraId="220A9E74" w14:textId="77777777" w:rsidR="003A727A" w:rsidRDefault="003A727A" w:rsidP="003A727A">
      <w:pPr>
        <w:pStyle w:val="Standard"/>
        <w:jc w:val="center"/>
        <w:rPr>
          <w:rFonts w:ascii="Garamond" w:hAnsi="Garamond"/>
          <w:b/>
          <w:bCs/>
          <w:sz w:val="22"/>
          <w:szCs w:val="22"/>
        </w:rPr>
      </w:pPr>
      <w:r>
        <w:rPr>
          <w:rFonts w:ascii="Garamond" w:hAnsi="Garamond"/>
          <w:b/>
          <w:bCs/>
          <w:sz w:val="22"/>
          <w:szCs w:val="22"/>
        </w:rPr>
        <w:t>Quantitative Literacy Across the Disciplines</w:t>
      </w:r>
    </w:p>
    <w:p w14:paraId="0C6D9997" w14:textId="77777777" w:rsidR="003A727A" w:rsidRDefault="003A727A" w:rsidP="003A727A">
      <w:pPr>
        <w:pStyle w:val="Standard"/>
        <w:rPr>
          <w:rFonts w:ascii="Garamond" w:hAnsi="Garamond"/>
          <w:sz w:val="22"/>
          <w:szCs w:val="22"/>
        </w:rPr>
      </w:pPr>
      <w:r>
        <w:rPr>
          <w:rFonts w:ascii="Garamond" w:hAnsi="Garamond"/>
          <w:sz w:val="22"/>
          <w:szCs w:val="22"/>
        </w:rPr>
        <w:tab/>
        <w:t>Current trends in general education reform demonstrate that faculty are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to accurately complete straightforward estimations and calculations.</w:t>
      </w:r>
    </w:p>
    <w:p w14:paraId="63A9FA57" w14:textId="77777777" w:rsidR="003A727A" w:rsidRDefault="003A727A" w:rsidP="003A727A">
      <w:pPr>
        <w:pStyle w:val="Standard"/>
        <w:rPr>
          <w:rFonts w:ascii="Garamond" w:hAnsi="Garamond"/>
          <w:sz w:val="22"/>
          <w:szCs w:val="22"/>
        </w:rPr>
      </w:pPr>
      <w:r>
        <w:rPr>
          <w:rFonts w:ascii="Garamond" w:hAnsi="Garamond"/>
          <w:sz w:val="22"/>
          <w:szCs w:val="22"/>
        </w:rPr>
        <w:tab/>
        <w:t>Preliminary efforts to find student work products which demonstrate QL skills proved a challenge in this rubric creation process.  It’s possible to find pages of mathematical problems, but what those problem sets don’t demonstrate is whether the student was able to think about and understand the meaning of her work.  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
    <w:p w14:paraId="0AF5B633" w14:textId="77777777" w:rsidR="003A727A" w:rsidRDefault="003A727A" w:rsidP="003A727A">
      <w:pPr>
        <w:pStyle w:val="Standard"/>
        <w:rPr>
          <w:rFonts w:ascii="Garamond" w:hAnsi="Garamond"/>
          <w:sz w:val="22"/>
          <w:szCs w:val="22"/>
        </w:rPr>
      </w:pPr>
      <w:r>
        <w:rPr>
          <w:rFonts w:ascii="Garamond" w:hAnsi="Garamond"/>
          <w:sz w:val="22"/>
          <w:szCs w:val="22"/>
        </w:rPr>
        <w:tab/>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  As students gain experience with those skills, faculty must develop assignments that require students to create work products which reveal their thought processes and demonstrate the range of their QL skills.</w:t>
      </w:r>
    </w:p>
    <w:p w14:paraId="0F5B66CC" w14:textId="77777777" w:rsidR="003A727A" w:rsidRDefault="003A727A" w:rsidP="003A727A">
      <w:pPr>
        <w:pStyle w:val="Standard"/>
        <w:rPr>
          <w:rFonts w:ascii="Garamond" w:hAnsi="Garamond"/>
          <w:sz w:val="22"/>
          <w:szCs w:val="22"/>
        </w:rPr>
      </w:pPr>
      <w:r>
        <w:rPr>
          <w:rFonts w:ascii="Garamond" w:hAnsi="Garamond"/>
          <w:sz w:val="22"/>
          <w:szCs w:val="22"/>
        </w:rPr>
        <w:tab/>
        <w:t>This rubric provides for faculty a definition for QL and a rubric describing four levels of QL achievement which might be observed in work products within work samples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14:paraId="4083504A" w14:textId="77777777" w:rsidR="003A727A" w:rsidRDefault="003A727A" w:rsidP="003A727A">
      <w:pPr>
        <w:pStyle w:val="Standard"/>
        <w:rPr>
          <w:rFonts w:ascii="Garamond" w:hAnsi="Garamond"/>
          <w:sz w:val="22"/>
          <w:szCs w:val="22"/>
        </w:rPr>
      </w:pPr>
    </w:p>
    <w:p w14:paraId="08ABF8DC" w14:textId="77777777" w:rsidR="003A727A" w:rsidRDefault="003A727A" w:rsidP="003A727A">
      <w:pPr>
        <w:pStyle w:val="Standard"/>
        <w:jc w:val="center"/>
        <w:rPr>
          <w:rFonts w:ascii="Garamond" w:hAnsi="Garamond"/>
          <w:b/>
          <w:bCs/>
          <w:sz w:val="22"/>
          <w:szCs w:val="22"/>
        </w:rPr>
      </w:pPr>
      <w:r>
        <w:rPr>
          <w:rFonts w:ascii="Garamond" w:hAnsi="Garamond"/>
          <w:b/>
          <w:bCs/>
          <w:sz w:val="22"/>
          <w:szCs w:val="22"/>
        </w:rPr>
        <w:t>Framing Language</w:t>
      </w:r>
    </w:p>
    <w:p w14:paraId="4876B875" w14:textId="77777777" w:rsidR="003A727A" w:rsidRDefault="003A727A" w:rsidP="003A727A">
      <w:pPr>
        <w:pStyle w:val="Standard"/>
        <w:rPr>
          <w:rFonts w:ascii="Garamond" w:hAnsi="Garamond"/>
          <w:sz w:val="22"/>
          <w:szCs w:val="22"/>
        </w:rPr>
      </w:pPr>
      <w:r>
        <w:rPr>
          <w:rFonts w:ascii="Garamond" w:hAnsi="Garamond"/>
          <w:sz w:val="22"/>
          <w:szCs w:val="22"/>
        </w:rPr>
        <w:tab/>
        <w:t xml:space="preserve">This rubric has been designed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data-based problems.  Such assignments may call for the traditional written paper, but we can imagine other alternatives:  a video of a PowerPoint presentation, perhaps, or a well designed series of web pages.  In any case, a successful demonstration of QL will place the mathematical work in the context of a full and robust discussion of the underlying issues addressed by the assignment.  </w:t>
      </w:r>
    </w:p>
    <w:p w14:paraId="0D8F449D" w14:textId="77777777" w:rsidR="003A727A" w:rsidRDefault="003A727A" w:rsidP="003A727A">
      <w:pPr>
        <w:pStyle w:val="Standard"/>
        <w:rPr>
          <w:rFonts w:ascii="Garamond" w:hAnsi="Garamond"/>
          <w:sz w:val="22"/>
          <w:szCs w:val="22"/>
        </w:rPr>
        <w:sectPr w:rsidR="003A727A" w:rsidSect="003A727A">
          <w:pgSz w:w="20163" w:h="12240" w:orient="landscape"/>
          <w:pgMar w:top="720" w:right="720" w:bottom="720" w:left="720" w:header="720" w:footer="720" w:gutter="0"/>
          <w:cols w:space="720"/>
        </w:sectPr>
      </w:pPr>
      <w:r>
        <w:rPr>
          <w:rFonts w:ascii="Garamond" w:hAnsi="Garamond"/>
          <w:sz w:val="22"/>
          <w:szCs w:val="22"/>
        </w:rPr>
        <w:tab/>
        <w:t>Finally, QL skills can be applied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3A727A" w14:paraId="15CF9A2C" w14:textId="77777777" w:rsidTr="00435328">
        <w:trPr>
          <w:trHeight w:val="311"/>
        </w:trPr>
        <w:tc>
          <w:tcPr>
            <w:tcW w:w="16704" w:type="dxa"/>
            <w:tcMar>
              <w:top w:w="0" w:type="dxa"/>
              <w:left w:w="0" w:type="dxa"/>
              <w:bottom w:w="0" w:type="dxa"/>
              <w:right w:w="0" w:type="dxa"/>
            </w:tcMar>
          </w:tcPr>
          <w:p w14:paraId="4C47E1EC" w14:textId="77777777" w:rsidR="003A727A" w:rsidRDefault="003A727A" w:rsidP="00435328">
            <w:pPr>
              <w:pStyle w:val="Standard"/>
              <w:snapToGrid w:val="0"/>
              <w:jc w:val="center"/>
              <w:rPr>
                <w:rFonts w:ascii="Garamond" w:hAnsi="Garamond"/>
                <w:sz w:val="40"/>
                <w:szCs w:val="40"/>
              </w:rPr>
            </w:pPr>
            <w:r>
              <w:rPr>
                <w:rFonts w:ascii="Garamond" w:hAnsi="Garamond"/>
                <w:b/>
                <w:smallCaps/>
                <w:color w:val="000000"/>
                <w:sz w:val="40"/>
                <w:szCs w:val="40"/>
                <w:lang w:val="en-US"/>
              </w:rPr>
              <w:lastRenderedPageBreak/>
              <w:t xml:space="preserve">Quantitative Literacy </w:t>
            </w:r>
            <w:r>
              <w:rPr>
                <w:rFonts w:ascii="Garamond" w:hAnsi="Garamond"/>
                <w:b/>
                <w:smallCaps/>
                <w:color w:val="000000"/>
                <w:sz w:val="40"/>
                <w:szCs w:val="40"/>
              </w:rPr>
              <w:t>VALUE Rubric</w:t>
            </w:r>
          </w:p>
          <w:p w14:paraId="7CB2FEFC" w14:textId="77777777" w:rsidR="003A727A" w:rsidRDefault="003A727A" w:rsidP="00435328">
            <w:pPr>
              <w:pStyle w:val="Standard"/>
              <w:snapToGrid w:val="0"/>
              <w:jc w:val="center"/>
              <w:rPr>
                <w:rFonts w:ascii="Garamond" w:hAnsi="Garamond"/>
                <w:sz w:val="22"/>
                <w:szCs w:val="22"/>
              </w:rPr>
            </w:pPr>
            <w:r>
              <w:rPr>
                <w:rFonts w:ascii="Garamond" w:eastAsia="Helvetica" w:hAnsi="Garamond" w:cs="Helvetica"/>
                <w:i/>
                <w:sz w:val="22"/>
                <w:szCs w:val="22"/>
                <w:lang w:val="en-US"/>
              </w:rPr>
              <w:t>f</w:t>
            </w:r>
            <w:r>
              <w:rPr>
                <w:rFonts w:ascii="Garamond" w:eastAsia="Helvetica" w:hAnsi="Garamond" w:cs="Helvetica"/>
                <w:i/>
                <w:sz w:val="22"/>
                <w:szCs w:val="22"/>
              </w:rPr>
              <w:t>or more information</w:t>
            </w:r>
            <w:r>
              <w:rPr>
                <w:rFonts w:ascii="Garamond" w:eastAsia="Helvetica" w:hAnsi="Garamond" w:cs="Helvetica"/>
                <w:i/>
                <w:sz w:val="22"/>
                <w:szCs w:val="22"/>
                <w:lang w:val="en-US"/>
              </w:rPr>
              <w:t xml:space="preserve">, </w:t>
            </w:r>
            <w:r>
              <w:rPr>
                <w:rFonts w:ascii="Garamond" w:eastAsia="Helvetica" w:hAnsi="Garamond" w:cs="Helvetica"/>
                <w:i/>
                <w:sz w:val="22"/>
                <w:szCs w:val="22"/>
              </w:rPr>
              <w:t xml:space="preserve">please </w:t>
            </w:r>
            <w:r>
              <w:rPr>
                <w:rFonts w:ascii="Garamond" w:eastAsia="Helvetica" w:hAnsi="Garamond" w:cs="Helvetica"/>
                <w:i/>
                <w:sz w:val="22"/>
                <w:szCs w:val="22"/>
                <w:lang w:val="en-US"/>
              </w:rPr>
              <w:t>contact value</w:t>
            </w:r>
            <w:r>
              <w:rPr>
                <w:rFonts w:ascii="Garamond" w:eastAsia="Helvetica" w:hAnsi="Garamond" w:cs="Helvetica"/>
                <w:i/>
                <w:sz w:val="22"/>
                <w:szCs w:val="22"/>
              </w:rPr>
              <w:t>@</w:t>
            </w:r>
            <w:r>
              <w:rPr>
                <w:rFonts w:ascii="Garamond" w:eastAsia="Helvetica" w:hAnsi="Garamond" w:cs="Helvetica"/>
                <w:i/>
                <w:sz w:val="22"/>
                <w:szCs w:val="22"/>
                <w:lang w:val="en-US"/>
              </w:rPr>
              <w:t>aacu.org</w:t>
            </w:r>
          </w:p>
        </w:tc>
        <w:tc>
          <w:tcPr>
            <w:tcW w:w="1882" w:type="dxa"/>
            <w:tcMar>
              <w:top w:w="0" w:type="dxa"/>
              <w:left w:w="0" w:type="dxa"/>
              <w:bottom w:w="0" w:type="dxa"/>
              <w:right w:w="0" w:type="dxa"/>
            </w:tcMar>
          </w:tcPr>
          <w:p w14:paraId="79ED0B18" w14:textId="77777777" w:rsidR="003A727A" w:rsidRDefault="003A727A" w:rsidP="0043532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r>
              <w:rPr>
                <w:rFonts w:ascii="Garamond" w:hAnsi="Garamond"/>
                <w:noProof/>
                <w:sz w:val="22"/>
                <w:szCs w:val="22"/>
                <w:lang w:val="en-US"/>
              </w:rPr>
              <w:drawing>
                <wp:inline distT="0" distB="0" distL="0" distR="0" wp14:anchorId="1D5A684C" wp14:editId="305FE023">
                  <wp:extent cx="1143000" cy="596900"/>
                  <wp:effectExtent l="25400" t="0" r="0" b="0"/>
                  <wp:docPr id="19"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13"/>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14:paraId="585A469A" w14:textId="77777777" w:rsidR="003A727A" w:rsidRDefault="003A727A" w:rsidP="003A727A">
      <w:pPr>
        <w:pStyle w:val="Standard"/>
        <w:jc w:val="center"/>
        <w:rPr>
          <w:rFonts w:ascii="Garamond" w:hAnsi="Garamond"/>
          <w:i/>
          <w:iCs/>
          <w:sz w:val="19"/>
          <w:szCs w:val="19"/>
        </w:rPr>
      </w:pPr>
    </w:p>
    <w:p w14:paraId="1A5359C4" w14:textId="77777777" w:rsidR="003A727A" w:rsidRDefault="003A727A" w:rsidP="003A727A">
      <w:pPr>
        <w:pStyle w:val="Standard"/>
        <w:jc w:val="center"/>
        <w:rPr>
          <w:rFonts w:ascii="Garamond" w:hAnsi="Garamond"/>
          <w:b/>
          <w:bCs/>
          <w:sz w:val="19"/>
          <w:szCs w:val="19"/>
        </w:rPr>
      </w:pPr>
      <w:r>
        <w:rPr>
          <w:rFonts w:ascii="Garamond" w:hAnsi="Garamond"/>
          <w:b/>
          <w:bCs/>
          <w:sz w:val="19"/>
          <w:szCs w:val="19"/>
        </w:rPr>
        <w:t>Definition</w:t>
      </w:r>
    </w:p>
    <w:p w14:paraId="0AA76330" w14:textId="77777777" w:rsidR="003A727A" w:rsidRDefault="003A727A" w:rsidP="003A727A">
      <w:pPr>
        <w:pStyle w:val="Standard"/>
        <w:rPr>
          <w:rFonts w:ascii="Garamond" w:hAnsi="Garamond"/>
          <w:sz w:val="19"/>
          <w:szCs w:val="19"/>
        </w:rPr>
      </w:pPr>
      <w:r>
        <w:rPr>
          <w:rFonts w:ascii="Garamond" w:hAnsi="Garamond"/>
          <w:sz w:val="19"/>
          <w:szCs w:val="19"/>
        </w:rPr>
        <w:tab/>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5294D7A4" w14:textId="77777777" w:rsidR="003A727A" w:rsidRDefault="003A727A" w:rsidP="003A727A">
      <w:pPr>
        <w:pStyle w:val="Standard"/>
        <w:rPr>
          <w:rFonts w:ascii="Garamond" w:hAnsi="Garamond"/>
          <w:sz w:val="19"/>
          <w:szCs w:val="19"/>
        </w:rPr>
      </w:pPr>
    </w:p>
    <w:p w14:paraId="3321990D" w14:textId="77777777" w:rsidR="003A727A" w:rsidRDefault="003A727A" w:rsidP="003A727A">
      <w:pPr>
        <w:pStyle w:val="Standard"/>
        <w:jc w:val="center"/>
        <w:rPr>
          <w:rFonts w:ascii="Garamond" w:hAnsi="Garamond"/>
          <w:i/>
          <w:iCs/>
          <w:sz w:val="19"/>
          <w:szCs w:val="19"/>
        </w:rPr>
      </w:pPr>
      <w:r>
        <w:rPr>
          <w:rFonts w:ascii="Garamond" w:hAnsi="Garamond"/>
          <w:i/>
          <w:iCs/>
          <w:sz w:val="19"/>
          <w:szCs w:val="19"/>
        </w:rPr>
        <w:t>Evaluators are encouraged to assign a zero to any work sample or collection of work that does not meet benchmark (cell one) level performance.</w:t>
      </w:r>
    </w:p>
    <w:p w14:paraId="2AF965D6" w14:textId="77777777" w:rsidR="003A727A" w:rsidRDefault="003A727A" w:rsidP="003A727A">
      <w:pPr>
        <w:pStyle w:val="Standard"/>
        <w:jc w:val="center"/>
        <w:rPr>
          <w:rFonts w:ascii="Garamond" w:hAnsi="Garamond"/>
          <w:sz w:val="19"/>
          <w:szCs w:val="19"/>
        </w:rPr>
      </w:pPr>
    </w:p>
    <w:tbl>
      <w:tblPr>
        <w:tblW w:w="18723" w:type="dxa"/>
        <w:tblInd w:w="45" w:type="dxa"/>
        <w:tblLayout w:type="fixed"/>
        <w:tblCellMar>
          <w:left w:w="10" w:type="dxa"/>
          <w:right w:w="10" w:type="dxa"/>
        </w:tblCellMar>
        <w:tblLook w:val="0000" w:firstRow="0" w:lastRow="0" w:firstColumn="0" w:lastColumn="0" w:noHBand="0" w:noVBand="0"/>
      </w:tblPr>
      <w:tblGrid>
        <w:gridCol w:w="3743"/>
        <w:gridCol w:w="3745"/>
        <w:gridCol w:w="3744"/>
        <w:gridCol w:w="3745"/>
        <w:gridCol w:w="3746"/>
      </w:tblGrid>
      <w:tr w:rsidR="003A727A" w14:paraId="1538345B" w14:textId="77777777" w:rsidTr="00435328">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3CC47B9D" w14:textId="77777777" w:rsidR="003A727A" w:rsidRDefault="003A727A" w:rsidP="00435328">
            <w:pPr>
              <w:pStyle w:val="Standard"/>
              <w:jc w:val="center"/>
              <w:rPr>
                <w:rFonts w:ascii="Garamond" w:hAnsi="Garamond" w:cs="Garamond"/>
                <w:sz w:val="19"/>
                <w:szCs w:val="19"/>
              </w:rPr>
            </w:pPr>
          </w:p>
        </w:tc>
        <w:tc>
          <w:tcPr>
            <w:tcW w:w="3745" w:type="dxa"/>
            <w:tcBorders>
              <w:top w:val="single" w:sz="2" w:space="0" w:color="000000"/>
              <w:left w:val="single" w:sz="2" w:space="0" w:color="000000"/>
              <w:bottom w:val="single" w:sz="2" w:space="0" w:color="000000"/>
            </w:tcBorders>
            <w:tcMar>
              <w:top w:w="55" w:type="dxa"/>
              <w:left w:w="55" w:type="dxa"/>
              <w:bottom w:w="55" w:type="dxa"/>
              <w:right w:w="55" w:type="dxa"/>
            </w:tcMar>
          </w:tcPr>
          <w:p w14:paraId="58C70AB4" w14:textId="77777777" w:rsidR="003A727A" w:rsidRDefault="003A727A" w:rsidP="00435328">
            <w:pPr>
              <w:pStyle w:val="Standard"/>
              <w:jc w:val="center"/>
              <w:rPr>
                <w:rFonts w:ascii="Garamond" w:hAnsi="Garamond" w:cs="Garamond"/>
                <w:b/>
                <w:bCs/>
                <w:sz w:val="19"/>
                <w:szCs w:val="19"/>
              </w:rPr>
            </w:pPr>
            <w:r>
              <w:rPr>
                <w:rFonts w:ascii="Garamond" w:hAnsi="Garamond" w:cs="Garamond"/>
                <w:b/>
                <w:bCs/>
                <w:sz w:val="19"/>
                <w:szCs w:val="19"/>
              </w:rPr>
              <w:t>Capstone</w:t>
            </w:r>
          </w:p>
          <w:p w14:paraId="66F27EF8" w14:textId="77777777" w:rsidR="003A727A" w:rsidRDefault="003A727A" w:rsidP="00435328">
            <w:pPr>
              <w:pStyle w:val="Standard"/>
              <w:jc w:val="center"/>
              <w:rPr>
                <w:rFonts w:ascii="Garamond" w:hAnsi="Garamond" w:cs="Garamond"/>
                <w:sz w:val="19"/>
                <w:szCs w:val="19"/>
              </w:rPr>
            </w:pPr>
            <w:r>
              <w:rPr>
                <w:rFonts w:ascii="Garamond" w:hAnsi="Garamond" w:cs="Garamond"/>
                <w:sz w:val="19"/>
                <w:szCs w:val="19"/>
              </w:rPr>
              <w:t>4</w:t>
            </w:r>
          </w:p>
        </w:tc>
        <w:tc>
          <w:tcPr>
            <w:tcW w:w="748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FFDD94A" w14:textId="77777777" w:rsidR="003A727A" w:rsidRDefault="003A727A" w:rsidP="00435328">
            <w:pPr>
              <w:pStyle w:val="Standard"/>
              <w:jc w:val="center"/>
              <w:rPr>
                <w:rFonts w:ascii="Garamond" w:hAnsi="Garamond" w:cs="Garamond"/>
                <w:b/>
                <w:bCs/>
                <w:sz w:val="19"/>
                <w:szCs w:val="19"/>
              </w:rPr>
            </w:pPr>
            <w:r>
              <w:rPr>
                <w:rFonts w:ascii="Garamond" w:hAnsi="Garamond" w:cs="Garamond"/>
                <w:b/>
                <w:bCs/>
                <w:sz w:val="19"/>
                <w:szCs w:val="19"/>
              </w:rPr>
              <w:t>Milestones</w:t>
            </w:r>
          </w:p>
          <w:p w14:paraId="4885ECFC" w14:textId="77777777" w:rsidR="003A727A" w:rsidRDefault="003A727A" w:rsidP="00435328">
            <w:pPr>
              <w:pStyle w:val="Standard"/>
              <w:jc w:val="center"/>
              <w:rPr>
                <w:rFonts w:ascii="Garamond" w:hAnsi="Garamond" w:cs="Garamond"/>
                <w:sz w:val="19"/>
                <w:szCs w:val="19"/>
              </w:rPr>
            </w:pPr>
            <w:r>
              <w:rPr>
                <w:rFonts w:ascii="Garamond" w:hAnsi="Garamond" w:cs="Garamond"/>
                <w:sz w:val="19"/>
                <w:szCs w:val="19"/>
              </w:rPr>
              <w:t>3</w:t>
            </w:r>
            <w:r>
              <w:rPr>
                <w:rFonts w:ascii="Garamond" w:hAnsi="Garamond" w:cs="Garamond"/>
                <w:sz w:val="19"/>
                <w:szCs w:val="19"/>
              </w:rPr>
              <w:tab/>
            </w:r>
            <w:r>
              <w:rPr>
                <w:rFonts w:ascii="Garamond" w:hAnsi="Garamond" w:cs="Garamond"/>
                <w:sz w:val="19"/>
                <w:szCs w:val="19"/>
              </w:rPr>
              <w:tab/>
            </w:r>
            <w:r>
              <w:rPr>
                <w:rFonts w:ascii="Garamond" w:hAnsi="Garamond" w:cs="Garamond"/>
                <w:sz w:val="19"/>
                <w:szCs w:val="19"/>
              </w:rPr>
              <w:tab/>
            </w:r>
            <w:r>
              <w:rPr>
                <w:rFonts w:ascii="Garamond" w:hAnsi="Garamond" w:cs="Garamond"/>
                <w:sz w:val="19"/>
                <w:szCs w:val="19"/>
              </w:rPr>
              <w:tab/>
            </w:r>
            <w:r>
              <w:rPr>
                <w:rFonts w:ascii="Garamond" w:hAnsi="Garamond" w:cs="Garamond"/>
                <w:sz w:val="19"/>
                <w:szCs w:val="19"/>
              </w:rPr>
              <w:tab/>
              <w:t>2</w:t>
            </w:r>
          </w:p>
        </w:tc>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E15830" w14:textId="77777777" w:rsidR="003A727A" w:rsidRDefault="003A727A" w:rsidP="00435328">
            <w:pPr>
              <w:pStyle w:val="Standard"/>
              <w:jc w:val="center"/>
              <w:rPr>
                <w:rFonts w:ascii="Garamond" w:hAnsi="Garamond" w:cs="Garamond"/>
                <w:sz w:val="19"/>
                <w:szCs w:val="19"/>
              </w:rPr>
            </w:pPr>
          </w:p>
          <w:p w14:paraId="6400FEB4" w14:textId="77777777" w:rsidR="003A727A" w:rsidRDefault="003A727A" w:rsidP="00435328">
            <w:pPr>
              <w:pStyle w:val="Standard"/>
              <w:jc w:val="center"/>
              <w:rPr>
                <w:rFonts w:ascii="Garamond" w:hAnsi="Garamond" w:cs="Garamond"/>
                <w:sz w:val="19"/>
                <w:szCs w:val="19"/>
              </w:rPr>
            </w:pPr>
            <w:r>
              <w:rPr>
                <w:rFonts w:ascii="Garamond" w:hAnsi="Garamond" w:cs="Garamond"/>
                <w:sz w:val="19"/>
                <w:szCs w:val="19"/>
              </w:rPr>
              <w:t>1</w:t>
            </w:r>
          </w:p>
        </w:tc>
      </w:tr>
      <w:tr w:rsidR="003A727A" w14:paraId="1BFDFA69"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283D4F4B"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t>Interpretation</w:t>
            </w:r>
          </w:p>
          <w:p w14:paraId="5317A79E" w14:textId="77777777" w:rsidR="003A727A" w:rsidRPr="009A562F" w:rsidRDefault="003A727A" w:rsidP="00435328">
            <w:pPr>
              <w:pStyle w:val="Standard"/>
              <w:rPr>
                <w:rFonts w:ascii="Garamond" w:hAnsi="Garamond" w:cs="Garamond"/>
                <w:i/>
                <w:iCs/>
                <w:sz w:val="19"/>
                <w:szCs w:val="19"/>
                <w:lang w:val="en-US"/>
              </w:rPr>
            </w:pPr>
            <w:r>
              <w:rPr>
                <w:rFonts w:ascii="Garamond" w:hAnsi="Garamond" w:cs="Garamond"/>
                <w:i/>
                <w:iCs/>
                <w:sz w:val="19"/>
                <w:szCs w:val="19"/>
              </w:rPr>
              <w:t>Ability to explain information presented in mathematical forms (e.g., equations, graphs, diagrams, tables, words)</w:t>
            </w:r>
          </w:p>
        </w:tc>
        <w:tc>
          <w:tcPr>
            <w:tcW w:w="3745" w:type="dxa"/>
            <w:tcBorders>
              <w:left w:val="single" w:sz="2" w:space="0" w:color="000000"/>
              <w:bottom w:val="single" w:sz="2" w:space="0" w:color="000000"/>
            </w:tcBorders>
            <w:tcMar>
              <w:top w:w="55" w:type="dxa"/>
              <w:left w:w="55" w:type="dxa"/>
              <w:bottom w:w="55" w:type="dxa"/>
              <w:right w:w="55" w:type="dxa"/>
            </w:tcMar>
          </w:tcPr>
          <w:p w14:paraId="4D863B27" w14:textId="77777777" w:rsidR="003A727A" w:rsidRDefault="003A727A" w:rsidP="00435328">
            <w:pPr>
              <w:pStyle w:val="Standard"/>
              <w:rPr>
                <w:rFonts w:ascii="Garamond" w:hAnsi="Garamond" w:cs="Garamond"/>
                <w:sz w:val="19"/>
                <w:szCs w:val="19"/>
              </w:rPr>
            </w:pPr>
            <w:r>
              <w:rPr>
                <w:rFonts w:ascii="Garamond" w:hAnsi="Garamond" w:cs="Garamond"/>
                <w:sz w:val="19"/>
                <w:szCs w:val="19"/>
              </w:rPr>
              <w:t xml:space="preserve">Provides accurate explanations of information presented in mathematical forms. Makes appropriate inferences based on that information. </w:t>
            </w:r>
            <w:r>
              <w:rPr>
                <w:rFonts w:ascii="Garamond" w:hAnsi="Garamond" w:cs="Garamond"/>
                <w:i/>
                <w:iCs/>
                <w:sz w:val="19"/>
                <w:szCs w:val="19"/>
              </w:rPr>
              <w:t>For example, accurately explain</w:t>
            </w:r>
            <w:r>
              <w:rPr>
                <w:rFonts w:ascii="Garamond" w:hAnsi="Garamond" w:cs="Garamond"/>
                <w:i/>
                <w:iCs/>
                <w:sz w:val="19"/>
                <w:szCs w:val="19"/>
                <w:lang w:val="en-US"/>
              </w:rPr>
              <w:t>s</w:t>
            </w:r>
            <w:r>
              <w:rPr>
                <w:rFonts w:ascii="Garamond" w:hAnsi="Garamond" w:cs="Garamond"/>
                <w:i/>
                <w:iCs/>
                <w:sz w:val="19"/>
                <w:szCs w:val="19"/>
              </w:rPr>
              <w:t xml:space="preserve"> the trend data shown in a graph and make</w:t>
            </w:r>
            <w:r>
              <w:rPr>
                <w:rFonts w:ascii="Garamond" w:hAnsi="Garamond" w:cs="Garamond"/>
                <w:i/>
                <w:iCs/>
                <w:sz w:val="19"/>
                <w:szCs w:val="19"/>
                <w:lang w:val="en-US"/>
              </w:rPr>
              <w:t>s</w:t>
            </w:r>
            <w:r>
              <w:rPr>
                <w:rFonts w:ascii="Garamond" w:hAnsi="Garamond" w:cs="Garamond"/>
                <w:i/>
                <w:iCs/>
                <w:sz w:val="19"/>
                <w:szCs w:val="19"/>
              </w:rPr>
              <w:t xml:space="preserve"> reasonable predictions regarding what the data suggest about future events.</w:t>
            </w:r>
          </w:p>
        </w:tc>
        <w:tc>
          <w:tcPr>
            <w:tcW w:w="3744" w:type="dxa"/>
            <w:tcBorders>
              <w:left w:val="single" w:sz="2" w:space="0" w:color="000000"/>
              <w:bottom w:val="single" w:sz="2" w:space="0" w:color="000000"/>
            </w:tcBorders>
            <w:tcMar>
              <w:top w:w="55" w:type="dxa"/>
              <w:left w:w="55" w:type="dxa"/>
              <w:bottom w:w="55" w:type="dxa"/>
              <w:right w:w="55" w:type="dxa"/>
            </w:tcMar>
          </w:tcPr>
          <w:p w14:paraId="31983072" w14:textId="77777777" w:rsidR="003A727A" w:rsidRDefault="003A727A" w:rsidP="00435328">
            <w:pPr>
              <w:pStyle w:val="Standard"/>
              <w:rPr>
                <w:rFonts w:ascii="Garamond" w:hAnsi="Garamond" w:cs="Garamond"/>
                <w:sz w:val="19"/>
                <w:szCs w:val="19"/>
              </w:rPr>
            </w:pPr>
            <w:r>
              <w:rPr>
                <w:rFonts w:ascii="Garamond" w:hAnsi="Garamond" w:cs="Garamond"/>
                <w:sz w:val="19"/>
                <w:szCs w:val="19"/>
              </w:rPr>
              <w:t xml:space="preserve">Provides accurate explanations of information presented in mathematical forms.  </w:t>
            </w:r>
            <w:r>
              <w:rPr>
                <w:rFonts w:ascii="Garamond" w:hAnsi="Garamond" w:cs="Garamond"/>
                <w:i/>
                <w:iCs/>
                <w:sz w:val="19"/>
                <w:szCs w:val="19"/>
              </w:rPr>
              <w:t>For instance, accurately explain</w:t>
            </w:r>
            <w:r>
              <w:rPr>
                <w:rFonts w:ascii="Garamond" w:hAnsi="Garamond" w:cs="Garamond"/>
                <w:i/>
                <w:iCs/>
                <w:sz w:val="19"/>
                <w:szCs w:val="19"/>
                <w:lang w:val="en-US"/>
              </w:rPr>
              <w:t>s</w:t>
            </w:r>
            <w:r>
              <w:rPr>
                <w:rFonts w:ascii="Garamond" w:hAnsi="Garamond" w:cs="Garamond"/>
                <w:i/>
                <w:iCs/>
                <w:sz w:val="19"/>
                <w:szCs w:val="19"/>
              </w:rPr>
              <w:t xml:space="preserve"> the trend data shown in a graph.</w:t>
            </w:r>
          </w:p>
        </w:tc>
        <w:tc>
          <w:tcPr>
            <w:tcW w:w="3745" w:type="dxa"/>
            <w:tcBorders>
              <w:left w:val="single" w:sz="2" w:space="0" w:color="000000"/>
              <w:bottom w:val="single" w:sz="2" w:space="0" w:color="000000"/>
            </w:tcBorders>
            <w:tcMar>
              <w:top w:w="55" w:type="dxa"/>
              <w:left w:w="55" w:type="dxa"/>
              <w:bottom w:w="55" w:type="dxa"/>
              <w:right w:w="55" w:type="dxa"/>
            </w:tcMar>
          </w:tcPr>
          <w:p w14:paraId="368740C2" w14:textId="77777777" w:rsidR="003A727A" w:rsidRDefault="003A727A" w:rsidP="00435328">
            <w:pPr>
              <w:pStyle w:val="Standard"/>
              <w:rPr>
                <w:rFonts w:ascii="Garamond" w:hAnsi="Garamond" w:cs="Garamond"/>
                <w:sz w:val="19"/>
                <w:szCs w:val="19"/>
              </w:rPr>
            </w:pPr>
            <w:r>
              <w:rPr>
                <w:rFonts w:ascii="Garamond" w:hAnsi="Garamond" w:cs="Garamond"/>
                <w:sz w:val="19"/>
                <w:szCs w:val="19"/>
              </w:rPr>
              <w:t xml:space="preserve">Provides somewhat accurate explanations of information presented in mathematical forms, but occasionally makes minor errors related to computations or units.  </w:t>
            </w:r>
            <w:r>
              <w:rPr>
                <w:rFonts w:ascii="Garamond" w:hAnsi="Garamond" w:cs="Garamond"/>
                <w:i/>
                <w:iCs/>
                <w:sz w:val="19"/>
                <w:szCs w:val="19"/>
              </w:rPr>
              <w:t>For instance, accurately explain</w:t>
            </w:r>
            <w:r>
              <w:rPr>
                <w:rFonts w:ascii="Garamond" w:hAnsi="Garamond" w:cs="Garamond"/>
                <w:i/>
                <w:iCs/>
                <w:sz w:val="19"/>
                <w:szCs w:val="19"/>
                <w:lang w:val="en-US"/>
              </w:rPr>
              <w:t>s</w:t>
            </w:r>
            <w:r>
              <w:rPr>
                <w:rFonts w:ascii="Garamond" w:hAnsi="Garamond" w:cs="Garamond"/>
                <w:i/>
                <w:iCs/>
                <w:sz w:val="19"/>
                <w:szCs w:val="19"/>
              </w:rPr>
              <w:t xml:space="preserve"> trend data shown in a graph, but may miscalculate the slope of the trend line.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CC26EB" w14:textId="77777777" w:rsidR="003A727A" w:rsidRDefault="003A727A" w:rsidP="00435328">
            <w:pPr>
              <w:pStyle w:val="Standard"/>
              <w:rPr>
                <w:rFonts w:ascii="Garamond" w:hAnsi="Garamond" w:cs="Garamond"/>
                <w:sz w:val="19"/>
                <w:szCs w:val="19"/>
              </w:rPr>
            </w:pPr>
            <w:r>
              <w:rPr>
                <w:rFonts w:ascii="Garamond" w:hAnsi="Garamond" w:cs="Garamond"/>
                <w:sz w:val="19"/>
                <w:szCs w:val="19"/>
              </w:rPr>
              <w:t xml:space="preserve">Attempts to explain information presented in mathematical forms, but draws incorrect conclusions about what the information means.  </w:t>
            </w:r>
            <w:r>
              <w:rPr>
                <w:rFonts w:ascii="Garamond" w:hAnsi="Garamond" w:cs="Garamond"/>
                <w:i/>
                <w:iCs/>
                <w:sz w:val="19"/>
                <w:szCs w:val="19"/>
              </w:rPr>
              <w:t>For example, attempt</w:t>
            </w:r>
            <w:r>
              <w:rPr>
                <w:rFonts w:ascii="Garamond" w:hAnsi="Garamond" w:cs="Garamond"/>
                <w:i/>
                <w:iCs/>
                <w:sz w:val="19"/>
                <w:szCs w:val="19"/>
                <w:lang w:val="en-US"/>
              </w:rPr>
              <w:t>s</w:t>
            </w:r>
            <w:r>
              <w:rPr>
                <w:rFonts w:ascii="Garamond" w:hAnsi="Garamond" w:cs="Garamond"/>
                <w:i/>
                <w:iCs/>
                <w:sz w:val="19"/>
                <w:szCs w:val="19"/>
              </w:rPr>
              <w:t xml:space="preserve"> to explain the trend data shown in a graph, but will frequently misinterpret the nature of that trend, perhaps by confusing positive and negative trends.</w:t>
            </w:r>
          </w:p>
        </w:tc>
      </w:tr>
      <w:tr w:rsidR="003A727A" w14:paraId="314A88F8"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797C5D7E"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t>Representation</w:t>
            </w:r>
          </w:p>
          <w:p w14:paraId="331B9253" w14:textId="77777777" w:rsidR="003A727A" w:rsidRPr="009A562F" w:rsidRDefault="003A727A" w:rsidP="00435328">
            <w:pPr>
              <w:pStyle w:val="Standard"/>
              <w:rPr>
                <w:rFonts w:ascii="Garamond" w:hAnsi="Garamond" w:cs="Garamond"/>
                <w:i/>
                <w:iCs/>
                <w:sz w:val="19"/>
                <w:szCs w:val="19"/>
                <w:lang w:val="en-US"/>
              </w:rPr>
            </w:pPr>
            <w:r>
              <w:rPr>
                <w:rFonts w:ascii="Garamond" w:hAnsi="Garamond" w:cs="Garamond"/>
                <w:i/>
                <w:iCs/>
                <w:sz w:val="19"/>
                <w:szCs w:val="19"/>
              </w:rPr>
              <w:t>Ability to convert relevant information into various mathematical forms (e.g., equations, graphs, diagrams, tables, words)</w:t>
            </w:r>
          </w:p>
        </w:tc>
        <w:tc>
          <w:tcPr>
            <w:tcW w:w="3745" w:type="dxa"/>
            <w:tcBorders>
              <w:left w:val="single" w:sz="2" w:space="0" w:color="000000"/>
              <w:bottom w:val="single" w:sz="2" w:space="0" w:color="000000"/>
            </w:tcBorders>
            <w:tcMar>
              <w:top w:w="55" w:type="dxa"/>
              <w:left w:w="55" w:type="dxa"/>
              <w:bottom w:w="55" w:type="dxa"/>
              <w:right w:w="55" w:type="dxa"/>
            </w:tcMar>
          </w:tcPr>
          <w:p w14:paraId="43C95531" w14:textId="77777777" w:rsidR="003A727A" w:rsidRDefault="003A727A" w:rsidP="00435328">
            <w:pPr>
              <w:pStyle w:val="Standard"/>
              <w:rPr>
                <w:rFonts w:ascii="Garamond" w:hAnsi="Garamond" w:cs="Garamond"/>
                <w:sz w:val="19"/>
                <w:szCs w:val="19"/>
              </w:rPr>
            </w:pPr>
            <w:r>
              <w:rPr>
                <w:rFonts w:ascii="Garamond" w:hAnsi="Garamond" w:cs="Garamond"/>
                <w:sz w:val="19"/>
                <w:szCs w:val="19"/>
              </w:rPr>
              <w:t>Skillfully converts relevant information into an insightful mathematical portrayal in a way that contributes to a further or deeper understanding.</w:t>
            </w:r>
          </w:p>
        </w:tc>
        <w:tc>
          <w:tcPr>
            <w:tcW w:w="3744" w:type="dxa"/>
            <w:tcBorders>
              <w:left w:val="single" w:sz="2" w:space="0" w:color="000000"/>
              <w:bottom w:val="single" w:sz="2" w:space="0" w:color="000000"/>
            </w:tcBorders>
            <w:tcMar>
              <w:top w:w="55" w:type="dxa"/>
              <w:left w:w="55" w:type="dxa"/>
              <w:bottom w:w="55" w:type="dxa"/>
              <w:right w:w="55" w:type="dxa"/>
            </w:tcMar>
          </w:tcPr>
          <w:p w14:paraId="1DD606E1" w14:textId="77777777" w:rsidR="003A727A" w:rsidRDefault="003A727A" w:rsidP="00435328">
            <w:pPr>
              <w:pStyle w:val="Standard"/>
              <w:rPr>
                <w:rFonts w:ascii="Garamond" w:hAnsi="Garamond" w:cs="Garamond"/>
                <w:sz w:val="19"/>
                <w:szCs w:val="19"/>
              </w:rPr>
            </w:pPr>
            <w:r>
              <w:rPr>
                <w:rFonts w:ascii="Garamond" w:hAnsi="Garamond" w:cs="Garamond"/>
                <w:sz w:val="19"/>
                <w:szCs w:val="19"/>
              </w:rPr>
              <w:t>Competently converts relevant information into an appropriate and desired mathematical portrayal.</w:t>
            </w:r>
          </w:p>
        </w:tc>
        <w:tc>
          <w:tcPr>
            <w:tcW w:w="3745" w:type="dxa"/>
            <w:tcBorders>
              <w:left w:val="single" w:sz="2" w:space="0" w:color="000000"/>
              <w:bottom w:val="single" w:sz="2" w:space="0" w:color="000000"/>
            </w:tcBorders>
            <w:tcMar>
              <w:top w:w="55" w:type="dxa"/>
              <w:left w:w="55" w:type="dxa"/>
              <w:bottom w:w="55" w:type="dxa"/>
              <w:right w:w="55" w:type="dxa"/>
            </w:tcMar>
          </w:tcPr>
          <w:p w14:paraId="36D2A38E" w14:textId="77777777" w:rsidR="003A727A" w:rsidRDefault="003A727A" w:rsidP="00435328">
            <w:pPr>
              <w:pStyle w:val="Standard"/>
              <w:rPr>
                <w:rFonts w:ascii="Garamond" w:hAnsi="Garamond" w:cs="Garamond"/>
                <w:sz w:val="19"/>
                <w:szCs w:val="19"/>
              </w:rPr>
            </w:pPr>
            <w:r>
              <w:rPr>
                <w:rFonts w:ascii="Garamond" w:hAnsi="Garamond" w:cs="Garamond"/>
                <w:sz w:val="19"/>
                <w:szCs w:val="19"/>
              </w:rPr>
              <w:t>Completes conversion of information but resulting mathematical portrayal is only partially appropriate or accurate.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952CE" w14:textId="77777777" w:rsidR="003A727A" w:rsidRDefault="003A727A" w:rsidP="00435328">
            <w:pPr>
              <w:pStyle w:val="Standard"/>
              <w:rPr>
                <w:rFonts w:ascii="Garamond" w:hAnsi="Garamond" w:cs="Garamond"/>
                <w:sz w:val="19"/>
                <w:szCs w:val="19"/>
              </w:rPr>
            </w:pPr>
            <w:r>
              <w:rPr>
                <w:rFonts w:ascii="Garamond" w:hAnsi="Garamond" w:cs="Garamond"/>
                <w:sz w:val="19"/>
                <w:szCs w:val="19"/>
              </w:rPr>
              <w:t>Completes conversion of information but resulting mathematical portrayal is inappropriate or inaccurate.</w:t>
            </w:r>
          </w:p>
        </w:tc>
      </w:tr>
      <w:tr w:rsidR="003A727A" w14:paraId="10050624"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13756DA9"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t>Calculation</w:t>
            </w:r>
          </w:p>
        </w:tc>
        <w:tc>
          <w:tcPr>
            <w:tcW w:w="3745" w:type="dxa"/>
            <w:tcBorders>
              <w:left w:val="single" w:sz="2" w:space="0" w:color="000000"/>
              <w:bottom w:val="single" w:sz="2" w:space="0" w:color="000000"/>
            </w:tcBorders>
            <w:tcMar>
              <w:top w:w="55" w:type="dxa"/>
              <w:left w:w="55" w:type="dxa"/>
              <w:bottom w:w="55" w:type="dxa"/>
              <w:right w:w="55" w:type="dxa"/>
            </w:tcMar>
          </w:tcPr>
          <w:p w14:paraId="1AFC9E86" w14:textId="77777777" w:rsidR="003A727A" w:rsidRDefault="003A727A" w:rsidP="00435328">
            <w:pPr>
              <w:pStyle w:val="Standard"/>
              <w:rPr>
                <w:rFonts w:ascii="Garamond" w:hAnsi="Garamond" w:cs="Garamond"/>
                <w:sz w:val="19"/>
                <w:szCs w:val="19"/>
              </w:rPr>
            </w:pPr>
            <w:r>
              <w:rPr>
                <w:rFonts w:ascii="Garamond" w:hAnsi="Garamond" w:cs="Garamond"/>
                <w:sz w:val="19"/>
                <w:szCs w:val="19"/>
              </w:rPr>
              <w:t>Calculations attempted are essentially all successful and sufficiently comprehensive to solve the problem. Calculations are also presented elegantly (clearly, concisely, etc.)</w:t>
            </w:r>
          </w:p>
        </w:tc>
        <w:tc>
          <w:tcPr>
            <w:tcW w:w="3744" w:type="dxa"/>
            <w:tcBorders>
              <w:left w:val="single" w:sz="2" w:space="0" w:color="000000"/>
              <w:bottom w:val="single" w:sz="2" w:space="0" w:color="000000"/>
            </w:tcBorders>
            <w:tcMar>
              <w:top w:w="55" w:type="dxa"/>
              <w:left w:w="55" w:type="dxa"/>
              <w:bottom w:w="55" w:type="dxa"/>
              <w:right w:w="55" w:type="dxa"/>
            </w:tcMar>
          </w:tcPr>
          <w:p w14:paraId="685A4202" w14:textId="77777777" w:rsidR="003A727A" w:rsidRDefault="003A727A" w:rsidP="00435328">
            <w:pPr>
              <w:pStyle w:val="Standard"/>
              <w:rPr>
                <w:rFonts w:ascii="Garamond" w:hAnsi="Garamond" w:cs="Garamond"/>
                <w:sz w:val="19"/>
                <w:szCs w:val="19"/>
              </w:rPr>
            </w:pPr>
            <w:r>
              <w:rPr>
                <w:rFonts w:ascii="Garamond" w:hAnsi="Garamond" w:cs="Garamond"/>
                <w:sz w:val="19"/>
                <w:szCs w:val="19"/>
              </w:rPr>
              <w:t>Calculations attempted are essentially all successful and sufficiently comprehensive to solve the problem.</w:t>
            </w:r>
          </w:p>
        </w:tc>
        <w:tc>
          <w:tcPr>
            <w:tcW w:w="3745" w:type="dxa"/>
            <w:tcBorders>
              <w:left w:val="single" w:sz="2" w:space="0" w:color="000000"/>
              <w:bottom w:val="single" w:sz="2" w:space="0" w:color="000000"/>
            </w:tcBorders>
            <w:tcMar>
              <w:top w:w="55" w:type="dxa"/>
              <w:left w:w="55" w:type="dxa"/>
              <w:bottom w:w="55" w:type="dxa"/>
              <w:right w:w="55" w:type="dxa"/>
            </w:tcMar>
          </w:tcPr>
          <w:p w14:paraId="69A343EE" w14:textId="77777777" w:rsidR="003A727A" w:rsidRDefault="003A727A" w:rsidP="00435328">
            <w:pPr>
              <w:pStyle w:val="Standard"/>
              <w:rPr>
                <w:rFonts w:ascii="Garamond" w:hAnsi="Garamond" w:cs="Garamond"/>
                <w:sz w:val="19"/>
                <w:szCs w:val="19"/>
              </w:rPr>
            </w:pPr>
            <w:r>
              <w:rPr>
                <w:rFonts w:ascii="Garamond" w:hAnsi="Garamond" w:cs="Garamond"/>
                <w:sz w:val="19"/>
                <w:szCs w:val="19"/>
              </w:rPr>
              <w:t>Calculations attempted are either unsuccessful or</w:t>
            </w:r>
          </w:p>
          <w:p w14:paraId="3771EF4F" w14:textId="77777777" w:rsidR="003A727A" w:rsidRDefault="003A727A" w:rsidP="00435328">
            <w:pPr>
              <w:pStyle w:val="Standard"/>
              <w:rPr>
                <w:rFonts w:ascii="Garamond" w:hAnsi="Garamond" w:cs="Garamond"/>
                <w:sz w:val="19"/>
                <w:szCs w:val="19"/>
              </w:rPr>
            </w:pPr>
            <w:r>
              <w:rPr>
                <w:rFonts w:ascii="Garamond" w:hAnsi="Garamond" w:cs="Garamond"/>
                <w:sz w:val="19"/>
                <w:szCs w:val="19"/>
              </w:rPr>
              <w:t>represent only a portion of the calculations required to comprehensively solve the problem. ﻿</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F6681E" w14:textId="77777777" w:rsidR="003A727A" w:rsidRDefault="003A727A" w:rsidP="00435328">
            <w:pPr>
              <w:pStyle w:val="Standard"/>
              <w:rPr>
                <w:rFonts w:ascii="Garamond" w:hAnsi="Garamond" w:cs="Garamond"/>
                <w:sz w:val="19"/>
                <w:szCs w:val="19"/>
              </w:rPr>
            </w:pPr>
            <w:r>
              <w:rPr>
                <w:rFonts w:ascii="Garamond" w:hAnsi="Garamond" w:cs="Garamond"/>
                <w:sz w:val="19"/>
                <w:szCs w:val="19"/>
              </w:rPr>
              <w:t>Calculations are attempted but are both unsuccessful and are not comprehensive.</w:t>
            </w:r>
          </w:p>
        </w:tc>
      </w:tr>
      <w:tr w:rsidR="003A727A" w14:paraId="4C396435"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2BC9523F"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t>Application / Analysis</w:t>
            </w:r>
          </w:p>
          <w:p w14:paraId="6564F315" w14:textId="77777777" w:rsidR="003A727A" w:rsidRPr="009A562F" w:rsidRDefault="003A727A" w:rsidP="00435328">
            <w:pPr>
              <w:pStyle w:val="Standard"/>
              <w:rPr>
                <w:rFonts w:ascii="Garamond" w:hAnsi="Garamond" w:cs="Garamond"/>
                <w:i/>
                <w:iCs/>
                <w:sz w:val="19"/>
                <w:szCs w:val="19"/>
                <w:lang w:val="en-US"/>
              </w:rPr>
            </w:pPr>
            <w:r>
              <w:rPr>
                <w:rFonts w:ascii="Garamond" w:hAnsi="Garamond" w:cs="Garamond"/>
                <w:i/>
                <w:iCs/>
                <w:sz w:val="19"/>
                <w:szCs w:val="19"/>
              </w:rPr>
              <w:t>Ability to make judgments and draw appropriate conclusions based on the quantitative analysis of data, while recognizing the limits of this analysis</w:t>
            </w:r>
          </w:p>
        </w:tc>
        <w:tc>
          <w:tcPr>
            <w:tcW w:w="3745" w:type="dxa"/>
            <w:tcBorders>
              <w:left w:val="single" w:sz="2" w:space="0" w:color="000000"/>
              <w:bottom w:val="single" w:sz="2" w:space="0" w:color="000000"/>
            </w:tcBorders>
            <w:tcMar>
              <w:top w:w="55" w:type="dxa"/>
              <w:left w:w="55" w:type="dxa"/>
              <w:bottom w:w="55" w:type="dxa"/>
              <w:right w:w="55" w:type="dxa"/>
            </w:tcMar>
          </w:tcPr>
          <w:p w14:paraId="6CCE4F4F"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the quantitative analysis of data as the basis for deep and thoughtful judgments, drawing insightful, carefully qualified conclusions from this work.</w:t>
            </w:r>
          </w:p>
        </w:tc>
        <w:tc>
          <w:tcPr>
            <w:tcW w:w="3744" w:type="dxa"/>
            <w:tcBorders>
              <w:left w:val="single" w:sz="2" w:space="0" w:color="000000"/>
              <w:bottom w:val="single" w:sz="2" w:space="0" w:color="000000"/>
            </w:tcBorders>
            <w:tcMar>
              <w:top w:w="55" w:type="dxa"/>
              <w:left w:w="55" w:type="dxa"/>
              <w:bottom w:w="55" w:type="dxa"/>
              <w:right w:w="55" w:type="dxa"/>
            </w:tcMar>
          </w:tcPr>
          <w:p w14:paraId="41C56C01"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the quantitative analysis of data as the basis for competent judgments, drawing reasonable and appropriately qualified conclusions from this work.</w:t>
            </w:r>
          </w:p>
        </w:tc>
        <w:tc>
          <w:tcPr>
            <w:tcW w:w="3745" w:type="dxa"/>
            <w:tcBorders>
              <w:left w:val="single" w:sz="2" w:space="0" w:color="000000"/>
              <w:bottom w:val="single" w:sz="2" w:space="0" w:color="000000"/>
            </w:tcBorders>
            <w:tcMar>
              <w:top w:w="55" w:type="dxa"/>
              <w:left w:w="55" w:type="dxa"/>
              <w:bottom w:w="55" w:type="dxa"/>
              <w:right w:w="55" w:type="dxa"/>
            </w:tcMar>
          </w:tcPr>
          <w:p w14:paraId="4DCD4831"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the quantitative analysis of data as the basis for workmanlike (without inspiration or nuance, ordinary) judgments, drawing plausible conclusions from this work.</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5753DF"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the quantitative analysis of data as the basis for tentative, basic judgments, although is hesitant or uncertain about drawing conclusions from this work.</w:t>
            </w:r>
          </w:p>
        </w:tc>
      </w:tr>
      <w:tr w:rsidR="003A727A" w14:paraId="2FF5D006"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50C6290F"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t>Assumptions</w:t>
            </w:r>
          </w:p>
          <w:p w14:paraId="5D21FC30" w14:textId="77777777" w:rsidR="003A727A" w:rsidRPr="009A562F" w:rsidRDefault="003A727A" w:rsidP="00435328">
            <w:pPr>
              <w:pStyle w:val="Standard"/>
              <w:rPr>
                <w:rFonts w:ascii="Garamond" w:hAnsi="Garamond" w:cs="Garamond"/>
                <w:i/>
                <w:iCs/>
                <w:sz w:val="19"/>
                <w:szCs w:val="19"/>
                <w:lang w:val="en-US"/>
              </w:rPr>
            </w:pPr>
            <w:r>
              <w:rPr>
                <w:rFonts w:ascii="Garamond" w:hAnsi="Garamond" w:cs="Garamond"/>
                <w:i/>
                <w:iCs/>
                <w:sz w:val="19"/>
                <w:szCs w:val="19"/>
              </w:rPr>
              <w:t>Ability to make and evaluate important assumptions in estimation, modeling, and data analysis</w:t>
            </w:r>
          </w:p>
        </w:tc>
        <w:tc>
          <w:tcPr>
            <w:tcW w:w="3745" w:type="dxa"/>
            <w:tcBorders>
              <w:left w:val="single" w:sz="2" w:space="0" w:color="000000"/>
              <w:bottom w:val="single" w:sz="2" w:space="0" w:color="000000"/>
            </w:tcBorders>
            <w:tcMar>
              <w:top w:w="55" w:type="dxa"/>
              <w:left w:w="55" w:type="dxa"/>
              <w:bottom w:w="55" w:type="dxa"/>
              <w:right w:w="55" w:type="dxa"/>
            </w:tcMar>
          </w:tcPr>
          <w:p w14:paraId="7BD4B22C" w14:textId="77777777" w:rsidR="003A727A" w:rsidRDefault="003A727A" w:rsidP="00435328">
            <w:pPr>
              <w:pStyle w:val="Standard"/>
              <w:rPr>
                <w:rFonts w:ascii="Garamond" w:hAnsi="Garamond" w:cs="Garamond"/>
                <w:sz w:val="19"/>
                <w:szCs w:val="19"/>
              </w:rPr>
            </w:pPr>
            <w:r>
              <w:rPr>
                <w:rFonts w:ascii="Garamond" w:hAnsi="Garamond" w:cs="Garamond"/>
                <w:sz w:val="19"/>
                <w:szCs w:val="19"/>
              </w:rPr>
              <w:t>Explicitly describes assumptions and provides compelling rationale for why each assumption is appropriate.  Shows awareness that confidence in final conclusions is limited by the accuracy of the assumptions.</w:t>
            </w:r>
          </w:p>
        </w:tc>
        <w:tc>
          <w:tcPr>
            <w:tcW w:w="3744" w:type="dxa"/>
            <w:tcBorders>
              <w:left w:val="single" w:sz="2" w:space="0" w:color="000000"/>
              <w:bottom w:val="single" w:sz="2" w:space="0" w:color="000000"/>
            </w:tcBorders>
            <w:tcMar>
              <w:top w:w="55" w:type="dxa"/>
              <w:left w:w="55" w:type="dxa"/>
              <w:bottom w:w="55" w:type="dxa"/>
              <w:right w:w="55" w:type="dxa"/>
            </w:tcMar>
          </w:tcPr>
          <w:p w14:paraId="29C4420A" w14:textId="77777777" w:rsidR="003A727A" w:rsidRDefault="003A727A" w:rsidP="00435328">
            <w:pPr>
              <w:pStyle w:val="Standard"/>
              <w:rPr>
                <w:rFonts w:ascii="Garamond" w:hAnsi="Garamond" w:cs="Garamond"/>
                <w:sz w:val="19"/>
                <w:szCs w:val="19"/>
              </w:rPr>
            </w:pPr>
            <w:r>
              <w:rPr>
                <w:rFonts w:ascii="Garamond" w:hAnsi="Garamond" w:cs="Garamond"/>
                <w:sz w:val="19"/>
                <w:szCs w:val="19"/>
              </w:rPr>
              <w:t>Explicitly describes assumptions and provides compelling rationale for why assumptions are appropriate.</w:t>
            </w:r>
          </w:p>
        </w:tc>
        <w:tc>
          <w:tcPr>
            <w:tcW w:w="3745" w:type="dxa"/>
            <w:tcBorders>
              <w:left w:val="single" w:sz="2" w:space="0" w:color="000000"/>
              <w:bottom w:val="single" w:sz="2" w:space="0" w:color="000000"/>
            </w:tcBorders>
            <w:tcMar>
              <w:top w:w="55" w:type="dxa"/>
              <w:left w:w="55" w:type="dxa"/>
              <w:bottom w:w="55" w:type="dxa"/>
              <w:right w:w="55" w:type="dxa"/>
            </w:tcMar>
          </w:tcPr>
          <w:p w14:paraId="69263D71" w14:textId="77777777" w:rsidR="003A727A" w:rsidRDefault="003A727A" w:rsidP="00435328">
            <w:pPr>
              <w:pStyle w:val="Standard"/>
              <w:rPr>
                <w:rFonts w:ascii="Garamond" w:hAnsi="Garamond" w:cs="Garamond"/>
                <w:sz w:val="19"/>
                <w:szCs w:val="19"/>
              </w:rPr>
            </w:pPr>
            <w:r>
              <w:rPr>
                <w:rFonts w:ascii="Garamond" w:hAnsi="Garamond" w:cs="Garamond"/>
                <w:sz w:val="19"/>
                <w:szCs w:val="19"/>
              </w:rPr>
              <w:t>Explicitly describes assumptions.</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1000A6" w14:textId="77777777" w:rsidR="003A727A" w:rsidRDefault="003A727A" w:rsidP="00435328">
            <w:pPr>
              <w:pStyle w:val="Standard"/>
              <w:rPr>
                <w:rFonts w:ascii="Garamond" w:hAnsi="Garamond" w:cs="Garamond"/>
                <w:sz w:val="19"/>
                <w:szCs w:val="19"/>
              </w:rPr>
            </w:pPr>
            <w:r>
              <w:rPr>
                <w:rFonts w:ascii="Garamond" w:hAnsi="Garamond" w:cs="Garamond"/>
                <w:sz w:val="19"/>
                <w:szCs w:val="19"/>
              </w:rPr>
              <w:t>Attempts to describe assumptions.</w:t>
            </w:r>
          </w:p>
        </w:tc>
      </w:tr>
      <w:tr w:rsidR="003A727A" w14:paraId="35FFDB24" w14:textId="77777777" w:rsidTr="00435328">
        <w:tc>
          <w:tcPr>
            <w:tcW w:w="3744" w:type="dxa"/>
            <w:tcBorders>
              <w:left w:val="single" w:sz="2" w:space="0" w:color="000000"/>
              <w:bottom w:val="single" w:sz="2" w:space="0" w:color="000000"/>
            </w:tcBorders>
            <w:tcMar>
              <w:top w:w="55" w:type="dxa"/>
              <w:left w:w="55" w:type="dxa"/>
              <w:bottom w:w="55" w:type="dxa"/>
              <w:right w:w="55" w:type="dxa"/>
            </w:tcMar>
          </w:tcPr>
          <w:p w14:paraId="043A496E" w14:textId="77777777" w:rsidR="003A727A" w:rsidRDefault="003A727A" w:rsidP="00435328">
            <w:pPr>
              <w:pStyle w:val="Standard"/>
              <w:rPr>
                <w:rFonts w:ascii="Garamond" w:hAnsi="Garamond" w:cs="Garamond"/>
                <w:b/>
                <w:bCs/>
                <w:sz w:val="19"/>
                <w:szCs w:val="19"/>
              </w:rPr>
            </w:pPr>
            <w:r>
              <w:rPr>
                <w:rFonts w:ascii="Garamond" w:hAnsi="Garamond" w:cs="Garamond"/>
                <w:b/>
                <w:bCs/>
                <w:sz w:val="19"/>
                <w:szCs w:val="19"/>
              </w:rPr>
              <w:lastRenderedPageBreak/>
              <w:t>Communication</w:t>
            </w:r>
          </w:p>
          <w:p w14:paraId="4B1FACDE" w14:textId="77777777" w:rsidR="003A727A" w:rsidRPr="009A562F" w:rsidRDefault="003A727A" w:rsidP="00435328">
            <w:pPr>
              <w:pStyle w:val="Standard"/>
              <w:rPr>
                <w:rFonts w:ascii="Garamond" w:hAnsi="Garamond" w:cs="Garamond"/>
                <w:i/>
                <w:iCs/>
                <w:sz w:val="19"/>
                <w:szCs w:val="19"/>
                <w:lang w:val="en-US"/>
              </w:rPr>
            </w:pPr>
            <w:r>
              <w:rPr>
                <w:rFonts w:ascii="Garamond" w:hAnsi="Garamond" w:cs="Garamond"/>
                <w:i/>
                <w:iCs/>
                <w:sz w:val="19"/>
                <w:szCs w:val="19"/>
              </w:rPr>
              <w:t>Expressing quantitative evidence in support of the argument or purpose of the work (in terms of what evidence is used and how it is formatted, presented, and contextualized)</w:t>
            </w:r>
          </w:p>
        </w:tc>
        <w:tc>
          <w:tcPr>
            <w:tcW w:w="3745" w:type="dxa"/>
            <w:tcBorders>
              <w:left w:val="single" w:sz="2" w:space="0" w:color="000000"/>
              <w:bottom w:val="single" w:sz="2" w:space="0" w:color="000000"/>
            </w:tcBorders>
            <w:tcMar>
              <w:top w:w="55" w:type="dxa"/>
              <w:left w:w="55" w:type="dxa"/>
              <w:bottom w:w="55" w:type="dxa"/>
              <w:right w:w="55" w:type="dxa"/>
            </w:tcMar>
          </w:tcPr>
          <w:p w14:paraId="1937AB6D"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quantitative information in connection with the argument or purpose of the work, presents it in an effective format, and explicates it with consistently high quality.</w:t>
            </w:r>
          </w:p>
        </w:tc>
        <w:tc>
          <w:tcPr>
            <w:tcW w:w="3744" w:type="dxa"/>
            <w:tcBorders>
              <w:left w:val="single" w:sz="2" w:space="0" w:color="000000"/>
              <w:bottom w:val="single" w:sz="2" w:space="0" w:color="000000"/>
            </w:tcBorders>
            <w:tcMar>
              <w:top w:w="55" w:type="dxa"/>
              <w:left w:w="55" w:type="dxa"/>
              <w:bottom w:w="55" w:type="dxa"/>
              <w:right w:w="55" w:type="dxa"/>
            </w:tcMar>
          </w:tcPr>
          <w:p w14:paraId="07B821DC"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quantitative information in connection with the argument or purpose of the work, though data may be presented in a less than completely effective format or some parts of the explication may be uneven.</w:t>
            </w:r>
          </w:p>
        </w:tc>
        <w:tc>
          <w:tcPr>
            <w:tcW w:w="3745" w:type="dxa"/>
            <w:tcBorders>
              <w:left w:val="single" w:sz="2" w:space="0" w:color="000000"/>
              <w:bottom w:val="single" w:sz="2" w:space="0" w:color="000000"/>
            </w:tcBorders>
            <w:tcMar>
              <w:top w:w="55" w:type="dxa"/>
              <w:left w:w="55" w:type="dxa"/>
              <w:bottom w:w="55" w:type="dxa"/>
              <w:right w:w="55" w:type="dxa"/>
            </w:tcMar>
          </w:tcPr>
          <w:p w14:paraId="3DF79D4F" w14:textId="77777777" w:rsidR="003A727A" w:rsidRDefault="003A727A" w:rsidP="00435328">
            <w:pPr>
              <w:pStyle w:val="Standard"/>
              <w:rPr>
                <w:rFonts w:ascii="Garamond" w:hAnsi="Garamond" w:cs="Garamond"/>
                <w:sz w:val="19"/>
                <w:szCs w:val="19"/>
              </w:rPr>
            </w:pPr>
            <w:r>
              <w:rPr>
                <w:rFonts w:ascii="Garamond" w:hAnsi="Garamond" w:cs="Garamond"/>
                <w:sz w:val="19"/>
                <w:szCs w:val="19"/>
              </w:rPr>
              <w:t>Uses quantitative information, but does not effectively connect it to the argument or purpose of the work.</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5AB5DD" w14:textId="77777777" w:rsidR="003A727A" w:rsidRDefault="003A727A" w:rsidP="00435328">
            <w:pPr>
              <w:pStyle w:val="Standard"/>
              <w:rPr>
                <w:rFonts w:ascii="Garamond" w:hAnsi="Garamond" w:cs="Garamond"/>
                <w:sz w:val="19"/>
                <w:szCs w:val="19"/>
              </w:rPr>
            </w:pPr>
            <w:r>
              <w:rPr>
                <w:rFonts w:ascii="Garamond" w:hAnsi="Garamond" w:cs="Garamond"/>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14:paraId="3386D795" w14:textId="77777777" w:rsidR="003A727A" w:rsidRDefault="003A727A" w:rsidP="003A727A">
      <w:pPr>
        <w:pStyle w:val="Standard"/>
        <w:rPr>
          <w:rFonts w:ascii="Garamond" w:hAnsi="Garamond"/>
          <w:sz w:val="19"/>
          <w:szCs w:val="19"/>
        </w:rPr>
      </w:pPr>
    </w:p>
    <w:p w14:paraId="5C583294" w14:textId="77777777" w:rsidR="003A727A" w:rsidRDefault="003A727A"/>
    <w:p w14:paraId="3E992E9C" w14:textId="77777777" w:rsidR="003A727A" w:rsidRDefault="003A727A"/>
    <w:sectPr w:rsidR="003A727A" w:rsidSect="003A727A">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B362" w14:textId="77777777" w:rsidR="00C445BF" w:rsidRDefault="00C445BF" w:rsidP="00352D9A">
      <w:r>
        <w:separator/>
      </w:r>
    </w:p>
  </w:endnote>
  <w:endnote w:type="continuationSeparator" w:id="0">
    <w:p w14:paraId="250B5E7D" w14:textId="77777777" w:rsidR="00C445BF" w:rsidRDefault="00C445BF" w:rsidP="003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DF52" w14:textId="77777777" w:rsidR="00C445BF" w:rsidRDefault="00C445BF" w:rsidP="00352D9A">
      <w:r>
        <w:separator/>
      </w:r>
    </w:p>
  </w:footnote>
  <w:footnote w:type="continuationSeparator" w:id="0">
    <w:p w14:paraId="609B9C27" w14:textId="77777777" w:rsidR="00C445BF" w:rsidRDefault="00C445BF" w:rsidP="0035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ABE5" w14:textId="77777777" w:rsidR="00435328" w:rsidRDefault="00435328" w:rsidP="004353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C25FD" w14:textId="77777777" w:rsidR="00435328" w:rsidRDefault="00435328" w:rsidP="0043532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9FBF" w14:textId="77777777" w:rsidR="00435328" w:rsidRDefault="00435328" w:rsidP="004353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1FA">
      <w:rPr>
        <w:rStyle w:val="PageNumber"/>
        <w:noProof/>
      </w:rPr>
      <w:t>3</w:t>
    </w:r>
    <w:r>
      <w:rPr>
        <w:rStyle w:val="PageNumber"/>
      </w:rPr>
      <w:fldChar w:fldCharType="end"/>
    </w:r>
  </w:p>
  <w:p w14:paraId="50263C3A" w14:textId="77777777" w:rsidR="00435328" w:rsidRDefault="00435328" w:rsidP="00435328">
    <w:pPr>
      <w:pStyle w:val="Header"/>
      <w:ind w:right="360"/>
      <w:jc w:val="right"/>
    </w:pPr>
    <w:r>
      <w:t>Psychology Department Assessment Plan, May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A86B" w14:textId="77777777" w:rsidR="00435328" w:rsidRDefault="00435328" w:rsidP="0043532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7904" w14:textId="77777777" w:rsidR="00435328" w:rsidRDefault="00435328">
    <w:pPr>
      <w:pStyle w:val="Header"/>
    </w:pPr>
    <w:r>
      <w:tab/>
    </w:r>
    <w:r>
      <w:tab/>
      <w:t xml:space="preserve">Psychology Assessment Plan </w:t>
    </w:r>
    <w:sdt>
      <w:sdtPr>
        <w:id w:val="4503725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D61FA">
          <w:rPr>
            <w:noProof/>
          </w:rPr>
          <w:t>15</w:t>
        </w:r>
        <w:r>
          <w:rPr>
            <w:noProof/>
          </w:rPr>
          <w:fldChar w:fldCharType="end"/>
        </w:r>
      </w:sdtContent>
    </w:sdt>
  </w:p>
  <w:p w14:paraId="71E7540F" w14:textId="77777777" w:rsidR="00435328" w:rsidRDefault="00435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95E23"/>
    <w:multiLevelType w:val="multilevel"/>
    <w:tmpl w:val="4F42F0B6"/>
    <w:lvl w:ilvl="0">
      <w:numFmt w:val="bullet"/>
      <w:lvlText w:val="•"/>
      <w:lvlJc w:val="left"/>
      <w:rPr>
        <w:rFonts w:ascii="OpenSymbol" w:eastAsia="OpenSymbol" w:hAnsi="OpenSymbol" w:cs="Tahoma"/>
      </w:rPr>
    </w:lvl>
    <w:lvl w:ilvl="1">
      <w:numFmt w:val="bullet"/>
      <w:lvlText w:val="◦"/>
      <w:lvlJc w:val="left"/>
      <w:rPr>
        <w:rFonts w:ascii="OpenSymbol" w:eastAsia="OpenSymbol" w:hAnsi="OpenSymbol" w:cs="Tahoma"/>
      </w:rPr>
    </w:lvl>
    <w:lvl w:ilvl="2">
      <w:numFmt w:val="bullet"/>
      <w:lvlText w:val="▪"/>
      <w:lvlJc w:val="left"/>
      <w:rPr>
        <w:rFonts w:ascii="OpenSymbol" w:eastAsia="OpenSymbol" w:hAnsi="OpenSymbol" w:cs="Tahoma"/>
      </w:rPr>
    </w:lvl>
    <w:lvl w:ilvl="3">
      <w:numFmt w:val="bullet"/>
      <w:lvlText w:val="•"/>
      <w:lvlJc w:val="left"/>
      <w:rPr>
        <w:rFonts w:ascii="OpenSymbol" w:eastAsia="OpenSymbol" w:hAnsi="OpenSymbol" w:cs="Tahoma"/>
      </w:rPr>
    </w:lvl>
    <w:lvl w:ilvl="4">
      <w:numFmt w:val="bullet"/>
      <w:lvlText w:val="◦"/>
      <w:lvlJc w:val="left"/>
      <w:rPr>
        <w:rFonts w:ascii="OpenSymbol" w:eastAsia="OpenSymbol" w:hAnsi="OpenSymbol" w:cs="Tahoma"/>
      </w:rPr>
    </w:lvl>
    <w:lvl w:ilvl="5">
      <w:numFmt w:val="bullet"/>
      <w:lvlText w:val="▪"/>
      <w:lvlJc w:val="left"/>
      <w:rPr>
        <w:rFonts w:ascii="OpenSymbol" w:eastAsia="OpenSymbol" w:hAnsi="OpenSymbol" w:cs="Tahoma"/>
      </w:rPr>
    </w:lvl>
    <w:lvl w:ilvl="6">
      <w:numFmt w:val="bullet"/>
      <w:lvlText w:val="•"/>
      <w:lvlJc w:val="left"/>
      <w:rPr>
        <w:rFonts w:ascii="OpenSymbol" w:eastAsia="OpenSymbol" w:hAnsi="OpenSymbol" w:cs="Tahoma"/>
      </w:rPr>
    </w:lvl>
    <w:lvl w:ilvl="7">
      <w:numFmt w:val="bullet"/>
      <w:lvlText w:val="◦"/>
      <w:lvlJc w:val="left"/>
      <w:rPr>
        <w:rFonts w:ascii="OpenSymbol" w:eastAsia="OpenSymbol" w:hAnsi="OpenSymbol" w:cs="Tahoma"/>
      </w:rPr>
    </w:lvl>
    <w:lvl w:ilvl="8">
      <w:numFmt w:val="bullet"/>
      <w:lvlText w:val="▪"/>
      <w:lvlJc w:val="left"/>
      <w:rPr>
        <w:rFonts w:ascii="OpenSymbol" w:eastAsia="OpenSymbol" w:hAnsi="OpenSymbol" w:cs="Tahoma"/>
      </w:rPr>
    </w:lvl>
  </w:abstractNum>
  <w:abstractNum w:abstractNumId="1" w15:restartNumberingAfterBreak="0">
    <w:nsid w:val="22930AA4"/>
    <w:multiLevelType w:val="hybridMultilevel"/>
    <w:tmpl w:val="C488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52AA5"/>
    <w:multiLevelType w:val="multilevel"/>
    <w:tmpl w:val="4A7E30F4"/>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abstractNum w:abstractNumId="3" w15:restartNumberingAfterBreak="0">
    <w:nsid w:val="2D69616F"/>
    <w:multiLevelType w:val="hybridMultilevel"/>
    <w:tmpl w:val="53E6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63618"/>
    <w:multiLevelType w:val="hybridMultilevel"/>
    <w:tmpl w:val="0CD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0346"/>
    <w:multiLevelType w:val="multilevel"/>
    <w:tmpl w:val="7D42E3C8"/>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abstractNum w:abstractNumId="6" w15:restartNumberingAfterBreak="0">
    <w:nsid w:val="3B6C629C"/>
    <w:multiLevelType w:val="hybridMultilevel"/>
    <w:tmpl w:val="086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D397F"/>
    <w:multiLevelType w:val="hybridMultilevel"/>
    <w:tmpl w:val="1844681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5A2F7A7C"/>
    <w:multiLevelType w:val="hybridMultilevel"/>
    <w:tmpl w:val="53E6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A4201"/>
    <w:multiLevelType w:val="hybridMultilevel"/>
    <w:tmpl w:val="A6189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C790F"/>
    <w:multiLevelType w:val="hybridMultilevel"/>
    <w:tmpl w:val="06F6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374D2"/>
    <w:multiLevelType w:val="hybridMultilevel"/>
    <w:tmpl w:val="F30CB2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1533E0D"/>
    <w:multiLevelType w:val="multilevel"/>
    <w:tmpl w:val="6288848C"/>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num w:numId="1">
    <w:abstractNumId w:val="3"/>
  </w:num>
  <w:num w:numId="2">
    <w:abstractNumId w:val="1"/>
  </w:num>
  <w:num w:numId="3">
    <w:abstractNumId w:val="7"/>
  </w:num>
  <w:num w:numId="4">
    <w:abstractNumId w:val="4"/>
  </w:num>
  <w:num w:numId="5">
    <w:abstractNumId w:val="6"/>
  </w:num>
  <w:num w:numId="6">
    <w:abstractNumId w:val="8"/>
  </w:num>
  <w:num w:numId="7">
    <w:abstractNumId w:val="10"/>
  </w:num>
  <w:num w:numId="8">
    <w:abstractNumId w:val="9"/>
  </w:num>
  <w:num w:numId="9">
    <w:abstractNumId w:val="11"/>
  </w:num>
  <w:num w:numId="10">
    <w:abstractNumId w:val="12"/>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9A"/>
    <w:rsid w:val="00090D18"/>
    <w:rsid w:val="000A0A55"/>
    <w:rsid w:val="000A1DD1"/>
    <w:rsid w:val="000C3986"/>
    <w:rsid w:val="00352D9A"/>
    <w:rsid w:val="003A727A"/>
    <w:rsid w:val="003D3FF3"/>
    <w:rsid w:val="003D5C37"/>
    <w:rsid w:val="00435328"/>
    <w:rsid w:val="00452402"/>
    <w:rsid w:val="004616FA"/>
    <w:rsid w:val="00473BDB"/>
    <w:rsid w:val="004D6C3B"/>
    <w:rsid w:val="006255EE"/>
    <w:rsid w:val="006271E7"/>
    <w:rsid w:val="00776838"/>
    <w:rsid w:val="007A7888"/>
    <w:rsid w:val="008B0672"/>
    <w:rsid w:val="008C0147"/>
    <w:rsid w:val="00935434"/>
    <w:rsid w:val="00943B9F"/>
    <w:rsid w:val="00A21AE8"/>
    <w:rsid w:val="00A63680"/>
    <w:rsid w:val="00AC4D0F"/>
    <w:rsid w:val="00B01C23"/>
    <w:rsid w:val="00B26D52"/>
    <w:rsid w:val="00BD61FA"/>
    <w:rsid w:val="00C445BF"/>
    <w:rsid w:val="00C9773B"/>
    <w:rsid w:val="00D25006"/>
    <w:rsid w:val="00D43795"/>
    <w:rsid w:val="00D63264"/>
    <w:rsid w:val="00D756AA"/>
    <w:rsid w:val="00D96DFF"/>
    <w:rsid w:val="00D97D07"/>
    <w:rsid w:val="00E0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7DDD"/>
  <w15:docId w15:val="{D308AE51-8AB3-4B24-A443-CED088C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9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9A"/>
    <w:pPr>
      <w:ind w:left="720"/>
      <w:contextualSpacing/>
    </w:pPr>
  </w:style>
  <w:style w:type="table" w:styleId="TableGrid">
    <w:name w:val="Table Grid"/>
    <w:basedOn w:val="TableNormal"/>
    <w:uiPriority w:val="59"/>
    <w:rsid w:val="00352D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D9A"/>
    <w:pPr>
      <w:tabs>
        <w:tab w:val="center" w:pos="4680"/>
        <w:tab w:val="right" w:pos="9360"/>
      </w:tabs>
    </w:pPr>
  </w:style>
  <w:style w:type="character" w:customStyle="1" w:styleId="HeaderChar">
    <w:name w:val="Header Char"/>
    <w:basedOn w:val="DefaultParagraphFont"/>
    <w:link w:val="Header"/>
    <w:uiPriority w:val="99"/>
    <w:rsid w:val="00352D9A"/>
    <w:rPr>
      <w:rFonts w:eastAsiaTheme="minorEastAsia"/>
      <w:sz w:val="24"/>
      <w:szCs w:val="24"/>
    </w:rPr>
  </w:style>
  <w:style w:type="paragraph" w:styleId="Footer">
    <w:name w:val="footer"/>
    <w:basedOn w:val="Normal"/>
    <w:link w:val="FooterChar"/>
    <w:uiPriority w:val="99"/>
    <w:unhideWhenUsed/>
    <w:rsid w:val="00352D9A"/>
    <w:pPr>
      <w:tabs>
        <w:tab w:val="center" w:pos="4680"/>
        <w:tab w:val="right" w:pos="9360"/>
      </w:tabs>
    </w:pPr>
  </w:style>
  <w:style w:type="character" w:customStyle="1" w:styleId="FooterChar">
    <w:name w:val="Footer Char"/>
    <w:basedOn w:val="DefaultParagraphFont"/>
    <w:link w:val="Footer"/>
    <w:uiPriority w:val="99"/>
    <w:rsid w:val="00352D9A"/>
    <w:rPr>
      <w:rFonts w:eastAsiaTheme="minorEastAsia"/>
      <w:sz w:val="24"/>
      <w:szCs w:val="24"/>
    </w:rPr>
  </w:style>
  <w:style w:type="paragraph" w:styleId="BalloonText">
    <w:name w:val="Balloon Text"/>
    <w:basedOn w:val="Normal"/>
    <w:link w:val="BalloonTextChar"/>
    <w:uiPriority w:val="99"/>
    <w:semiHidden/>
    <w:unhideWhenUsed/>
    <w:rsid w:val="00352D9A"/>
    <w:rPr>
      <w:rFonts w:ascii="Tahoma" w:hAnsi="Tahoma" w:cs="Tahoma"/>
      <w:sz w:val="16"/>
      <w:szCs w:val="16"/>
    </w:rPr>
  </w:style>
  <w:style w:type="character" w:customStyle="1" w:styleId="BalloonTextChar">
    <w:name w:val="Balloon Text Char"/>
    <w:basedOn w:val="DefaultParagraphFont"/>
    <w:link w:val="BalloonText"/>
    <w:uiPriority w:val="99"/>
    <w:semiHidden/>
    <w:rsid w:val="00352D9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96DFF"/>
    <w:rPr>
      <w:sz w:val="16"/>
      <w:szCs w:val="16"/>
    </w:rPr>
  </w:style>
  <w:style w:type="paragraph" w:styleId="CommentText">
    <w:name w:val="annotation text"/>
    <w:basedOn w:val="Normal"/>
    <w:link w:val="CommentTextChar"/>
    <w:uiPriority w:val="99"/>
    <w:semiHidden/>
    <w:unhideWhenUsed/>
    <w:rsid w:val="00D96DFF"/>
    <w:rPr>
      <w:sz w:val="20"/>
      <w:szCs w:val="20"/>
    </w:rPr>
  </w:style>
  <w:style w:type="character" w:customStyle="1" w:styleId="CommentTextChar">
    <w:name w:val="Comment Text Char"/>
    <w:basedOn w:val="DefaultParagraphFont"/>
    <w:link w:val="CommentText"/>
    <w:uiPriority w:val="99"/>
    <w:semiHidden/>
    <w:rsid w:val="00D96D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6DFF"/>
    <w:rPr>
      <w:b/>
      <w:bCs/>
    </w:rPr>
  </w:style>
  <w:style w:type="character" w:customStyle="1" w:styleId="CommentSubjectChar">
    <w:name w:val="Comment Subject Char"/>
    <w:basedOn w:val="CommentTextChar"/>
    <w:link w:val="CommentSubject"/>
    <w:uiPriority w:val="99"/>
    <w:semiHidden/>
    <w:rsid w:val="00D96DFF"/>
    <w:rPr>
      <w:rFonts w:eastAsiaTheme="minorEastAsia"/>
      <w:b/>
      <w:bCs/>
      <w:sz w:val="20"/>
      <w:szCs w:val="20"/>
    </w:rPr>
  </w:style>
  <w:style w:type="table" w:customStyle="1" w:styleId="TableGrid1">
    <w:name w:val="Table Grid1"/>
    <w:basedOn w:val="TableNormal"/>
    <w:next w:val="TableGrid"/>
    <w:uiPriority w:val="59"/>
    <w:rsid w:val="000A0A55"/>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rsid w:val="000A0A55"/>
  </w:style>
  <w:style w:type="paragraph" w:customStyle="1" w:styleId="Standard">
    <w:name w:val="Standard"/>
    <w:rsid w:val="000A0A55"/>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customStyle="1" w:styleId="Textbody">
    <w:name w:val="Text body"/>
    <w:basedOn w:val="Standard"/>
    <w:rsid w:val="003A727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7869</Words>
  <Characters>44856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Hutchison</dc:creator>
  <cp:lastModifiedBy>Hutchison, Keith</cp:lastModifiedBy>
  <cp:revision>19</cp:revision>
  <dcterms:created xsi:type="dcterms:W3CDTF">2015-09-14T20:36:00Z</dcterms:created>
  <dcterms:modified xsi:type="dcterms:W3CDTF">2016-06-07T19:51:00Z</dcterms:modified>
</cp:coreProperties>
</file>