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DD7B1" w14:textId="77777777" w:rsidR="00223263" w:rsidRPr="00223263" w:rsidRDefault="00223263" w:rsidP="002232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2326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C0893DE" w14:textId="77777777" w:rsidR="00223263" w:rsidRPr="00223263" w:rsidRDefault="00223263" w:rsidP="00223263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223263">
        <w:rPr>
          <w:rFonts w:ascii="Times New Roman" w:eastAsia="Times New Roman" w:hAnsi="Times New Roman" w:cs="Times New Roman"/>
          <w:color w:val="FFFFFF"/>
          <w:sz w:val="24"/>
          <w:szCs w:val="24"/>
        </w:rPr>
        <w:t> GO</w:t>
      </w:r>
    </w:p>
    <w:p w14:paraId="001D9214" w14:textId="77777777" w:rsidR="00223263" w:rsidRPr="00223263" w:rsidRDefault="00223263" w:rsidP="002232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2326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979C85C" w14:textId="77777777" w:rsidR="00223263" w:rsidRPr="00223263" w:rsidRDefault="00C1658F" w:rsidP="002232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FFFFFF"/>
          <w:sz w:val="24"/>
          <w:szCs w:val="24"/>
        </w:rPr>
      </w:pPr>
      <w:hyperlink r:id="rId5" w:tooltip="A-Z Index" w:history="1">
        <w:r w:rsidR="00223263" w:rsidRPr="00223263">
          <w:rPr>
            <w:rFonts w:ascii="Verdana" w:eastAsia="Times New Roman" w:hAnsi="Verdana" w:cs="Times New Roman"/>
            <w:color w:val="FFFFFF"/>
            <w:sz w:val="21"/>
            <w:szCs w:val="21"/>
            <w:u w:val="single"/>
          </w:rPr>
          <w:t>Site Index</w:t>
        </w:r>
      </w:hyperlink>
    </w:p>
    <w:p w14:paraId="200822A7" w14:textId="77777777" w:rsidR="00223263" w:rsidRPr="00223263" w:rsidRDefault="00223263" w:rsidP="00223263">
      <w:pPr>
        <w:spacing w:after="0" w:line="240" w:lineRule="auto"/>
        <w:rPr>
          <w:rFonts w:ascii="Verdana" w:eastAsia="Times New Roman" w:hAnsi="Verdana" w:cs="Times New Roman"/>
          <w:color w:val="FFFFFF"/>
          <w:sz w:val="24"/>
          <w:szCs w:val="24"/>
        </w:rPr>
      </w:pPr>
      <w:r w:rsidRPr="00223263">
        <w:rPr>
          <w:rFonts w:ascii="Verdana" w:eastAsia="Times New Roman" w:hAnsi="Verdana" w:cs="Times New Roman"/>
          <w:color w:val="FFFFFF"/>
          <w:sz w:val="24"/>
          <w:szCs w:val="24"/>
        </w:rPr>
        <w:t> </w:t>
      </w:r>
    </w:p>
    <w:p w14:paraId="73262F7B" w14:textId="77777777" w:rsidR="00223263" w:rsidRPr="00223263" w:rsidRDefault="00C1658F" w:rsidP="00223263">
      <w:pPr>
        <w:numPr>
          <w:ilvl w:val="0"/>
          <w:numId w:val="1"/>
        </w:numPr>
        <w:pBdr>
          <w:left w:val="single" w:sz="6" w:space="8" w:color="FFFFFF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FFFFFF"/>
          <w:sz w:val="24"/>
          <w:szCs w:val="24"/>
        </w:rPr>
      </w:pPr>
      <w:hyperlink r:id="rId6" w:tooltip="Directories" w:history="1">
        <w:r w:rsidR="00223263" w:rsidRPr="00223263">
          <w:rPr>
            <w:rFonts w:ascii="Verdana" w:eastAsia="Times New Roman" w:hAnsi="Verdana" w:cs="Times New Roman"/>
            <w:color w:val="FFFFFF"/>
            <w:sz w:val="21"/>
            <w:szCs w:val="21"/>
            <w:u w:val="single"/>
          </w:rPr>
          <w:t>Directories</w:t>
        </w:r>
      </w:hyperlink>
    </w:p>
    <w:p w14:paraId="1AF875F0" w14:textId="77777777" w:rsidR="00223263" w:rsidRPr="00223263" w:rsidRDefault="00223263" w:rsidP="00223263">
      <w:pPr>
        <w:numPr>
          <w:ilvl w:val="0"/>
          <w:numId w:val="2"/>
        </w:numPr>
        <w:pBdr>
          <w:left w:val="single" w:sz="2" w:space="0" w:color="FFFFFF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223263">
        <w:rPr>
          <w:rFonts w:ascii="Times New Roman" w:eastAsia="Times New Roman" w:hAnsi="Times New Roman" w:cs="Times New Roman"/>
          <w:noProof/>
          <w:color w:val="FFFFFF"/>
          <w:sz w:val="18"/>
          <w:szCs w:val="18"/>
        </w:rPr>
        <w:drawing>
          <wp:inline distT="0" distB="0" distL="0" distR="0" wp14:anchorId="7197E961" wp14:editId="6BE13375">
            <wp:extent cx="1657350" cy="419100"/>
            <wp:effectExtent l="0" t="0" r="0" b="0"/>
            <wp:docPr id="1" name="Picture 1" descr="Montana State University in Bozema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ana State University in Bozema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137CD" w14:textId="77777777" w:rsidR="00223263" w:rsidRPr="00223263" w:rsidRDefault="00C1658F" w:rsidP="00223263">
      <w:pPr>
        <w:numPr>
          <w:ilvl w:val="0"/>
          <w:numId w:val="3"/>
        </w:numPr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9" w:history="1">
        <w:r w:rsidR="00223263" w:rsidRPr="00223263">
          <w:rPr>
            <w:rFonts w:ascii="Arial" w:eastAsia="Times New Roman" w:hAnsi="Arial" w:cs="Arial"/>
            <w:color w:val="551A8B"/>
            <w:sz w:val="20"/>
            <w:szCs w:val="20"/>
            <w:u w:val="single"/>
          </w:rPr>
          <w:t>MSU Policies and Procedures</w:t>
        </w:r>
      </w:hyperlink>
    </w:p>
    <w:p w14:paraId="1D56957B" w14:textId="77777777" w:rsidR="00223263" w:rsidRPr="00223263" w:rsidRDefault="00223263" w:rsidP="0022326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23263">
        <w:rPr>
          <w:rFonts w:ascii="Arial" w:eastAsia="Times New Roman" w:hAnsi="Arial" w:cs="Arial"/>
          <w:color w:val="000000"/>
          <w:sz w:val="20"/>
          <w:szCs w:val="20"/>
        </w:rPr>
        <w:t> &gt;  </w:t>
      </w:r>
    </w:p>
    <w:p w14:paraId="1DB159A4" w14:textId="77777777" w:rsidR="00223263" w:rsidRPr="00223263" w:rsidRDefault="00C1658F" w:rsidP="00223263">
      <w:pPr>
        <w:numPr>
          <w:ilvl w:val="0"/>
          <w:numId w:val="3"/>
        </w:numPr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r w:rsidR="00223263" w:rsidRPr="00223263">
          <w:rPr>
            <w:rFonts w:ascii="Arial" w:eastAsia="Times New Roman" w:hAnsi="Arial" w:cs="Arial"/>
            <w:color w:val="551A8B"/>
            <w:sz w:val="20"/>
            <w:szCs w:val="20"/>
            <w:u w:val="single"/>
          </w:rPr>
          <w:t>Procurement Policy and Procedures</w:t>
        </w:r>
      </w:hyperlink>
    </w:p>
    <w:p w14:paraId="37C8A6C5" w14:textId="77777777" w:rsidR="00223263" w:rsidRPr="00223263" w:rsidRDefault="00223263" w:rsidP="0022326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23263">
        <w:rPr>
          <w:rFonts w:ascii="Arial" w:eastAsia="Times New Roman" w:hAnsi="Arial" w:cs="Arial"/>
          <w:color w:val="000000"/>
          <w:sz w:val="20"/>
          <w:szCs w:val="20"/>
        </w:rPr>
        <w:t> &gt;  </w:t>
      </w:r>
    </w:p>
    <w:p w14:paraId="27B2A444" w14:textId="77777777" w:rsidR="00223263" w:rsidRPr="00223263" w:rsidRDefault="00223263" w:rsidP="00223263">
      <w:pPr>
        <w:numPr>
          <w:ilvl w:val="0"/>
          <w:numId w:val="3"/>
        </w:numPr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223263">
        <w:rPr>
          <w:rFonts w:ascii="Arial" w:eastAsia="Times New Roman" w:hAnsi="Arial" w:cs="Arial"/>
          <w:color w:val="000000"/>
          <w:sz w:val="20"/>
          <w:szCs w:val="20"/>
        </w:rPr>
        <w:t>500.00 Approvals Prior to Purchase</w:t>
      </w:r>
    </w:p>
    <w:p w14:paraId="0B54903C" w14:textId="77777777" w:rsidR="00223263" w:rsidRPr="00223263" w:rsidRDefault="00223263" w:rsidP="00223263">
      <w:pPr>
        <w:spacing w:after="0" w:line="312" w:lineRule="atLeast"/>
        <w:outlineLvl w:val="0"/>
        <w:rPr>
          <w:rFonts w:ascii="Verdana" w:eastAsia="Times New Roman" w:hAnsi="Verdana" w:cs="Arial"/>
          <w:b/>
          <w:bCs/>
          <w:color w:val="003F7F"/>
          <w:kern w:val="36"/>
          <w:sz w:val="46"/>
          <w:szCs w:val="46"/>
        </w:rPr>
      </w:pPr>
      <w:r w:rsidRPr="00223263">
        <w:rPr>
          <w:rFonts w:ascii="Verdana" w:eastAsia="Times New Roman" w:hAnsi="Verdana" w:cs="Arial"/>
          <w:b/>
          <w:bCs/>
          <w:color w:val="003F7F"/>
          <w:kern w:val="36"/>
          <w:sz w:val="46"/>
          <w:szCs w:val="46"/>
        </w:rPr>
        <w:t>500.00</w:t>
      </w:r>
      <w:r w:rsidR="002E0771">
        <w:rPr>
          <w:rFonts w:ascii="Verdana" w:eastAsia="Times New Roman" w:hAnsi="Verdana" w:cs="Arial"/>
          <w:b/>
          <w:bCs/>
          <w:color w:val="003F7F"/>
          <w:kern w:val="36"/>
          <w:sz w:val="46"/>
          <w:szCs w:val="46"/>
        </w:rPr>
        <w:t xml:space="preserve"> Registration and</w:t>
      </w:r>
      <w:r w:rsidRPr="00223263">
        <w:rPr>
          <w:rFonts w:ascii="Verdana" w:eastAsia="Times New Roman" w:hAnsi="Verdana" w:cs="Arial"/>
          <w:b/>
          <w:bCs/>
          <w:color w:val="003F7F"/>
          <w:kern w:val="36"/>
          <w:sz w:val="46"/>
          <w:szCs w:val="46"/>
        </w:rPr>
        <w:t xml:space="preserve"> Approvals </w:t>
      </w:r>
      <w:r w:rsidR="009B12A7">
        <w:rPr>
          <w:rFonts w:ascii="Verdana" w:eastAsia="Times New Roman" w:hAnsi="Verdana" w:cs="Arial"/>
          <w:b/>
          <w:bCs/>
          <w:color w:val="003F7F"/>
          <w:kern w:val="36"/>
          <w:sz w:val="46"/>
          <w:szCs w:val="46"/>
        </w:rPr>
        <w:t xml:space="preserve">for </w:t>
      </w:r>
      <w:r w:rsidR="002E0771">
        <w:rPr>
          <w:rFonts w:ascii="Verdana" w:eastAsia="Times New Roman" w:hAnsi="Verdana" w:cs="Arial"/>
          <w:b/>
          <w:bCs/>
          <w:color w:val="003F7F"/>
          <w:kern w:val="36"/>
          <w:sz w:val="46"/>
          <w:szCs w:val="46"/>
        </w:rPr>
        <w:t>IT</w:t>
      </w:r>
      <w:r w:rsidRPr="00223263">
        <w:rPr>
          <w:rFonts w:ascii="Verdana" w:eastAsia="Times New Roman" w:hAnsi="Verdana" w:cs="Arial"/>
          <w:b/>
          <w:bCs/>
          <w:color w:val="003F7F"/>
          <w:kern w:val="36"/>
          <w:sz w:val="46"/>
          <w:szCs w:val="46"/>
        </w:rPr>
        <w:t xml:space="preserve"> Purchase</w:t>
      </w:r>
      <w:r w:rsidR="009B12A7">
        <w:rPr>
          <w:rFonts w:ascii="Verdana" w:eastAsia="Times New Roman" w:hAnsi="Verdana" w:cs="Arial"/>
          <w:b/>
          <w:bCs/>
          <w:color w:val="003F7F"/>
          <w:kern w:val="36"/>
          <w:sz w:val="46"/>
          <w:szCs w:val="46"/>
        </w:rPr>
        <w:t>s</w:t>
      </w:r>
      <w:r w:rsidR="007D4465">
        <w:rPr>
          <w:rFonts w:ascii="Verdana" w:eastAsia="Times New Roman" w:hAnsi="Verdana" w:cs="Arial"/>
          <w:b/>
          <w:bCs/>
          <w:color w:val="003F7F"/>
          <w:kern w:val="36"/>
          <w:sz w:val="46"/>
          <w:szCs w:val="46"/>
        </w:rPr>
        <w:t xml:space="preserve"> at MSU-Bozeman</w:t>
      </w:r>
    </w:p>
    <w:p w14:paraId="462E04DE" w14:textId="77777777" w:rsidR="00223263" w:rsidRPr="00223263" w:rsidRDefault="00223263" w:rsidP="00223263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2326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E7DA5E4" w14:textId="77777777" w:rsidR="00223263" w:rsidRPr="00223263" w:rsidRDefault="00223263" w:rsidP="00223263">
      <w:pPr>
        <w:numPr>
          <w:ilvl w:val="0"/>
          <w:numId w:val="4"/>
        </w:numPr>
        <w:spacing w:after="0" w:line="312" w:lineRule="atLeast"/>
        <w:ind w:left="150" w:right="225"/>
        <w:rPr>
          <w:rFonts w:ascii="Arial" w:eastAsia="Times New Roman" w:hAnsi="Arial" w:cs="Arial"/>
          <w:b/>
          <w:bCs/>
          <w:caps/>
          <w:color w:val="000000"/>
          <w:sz w:val="16"/>
          <w:szCs w:val="16"/>
        </w:rPr>
      </w:pPr>
      <w:bookmarkStart w:id="0" w:name="Table"/>
      <w:bookmarkEnd w:id="0"/>
      <w:r w:rsidRPr="00223263">
        <w:rPr>
          <w:rFonts w:ascii="Arial" w:eastAsia="Times New Roman" w:hAnsi="Arial" w:cs="Arial"/>
          <w:b/>
          <w:bCs/>
          <w:caps/>
          <w:color w:val="000000"/>
          <w:sz w:val="16"/>
          <w:szCs w:val="16"/>
        </w:rPr>
        <w:t>TABLE OF CONTENTS</w:t>
      </w:r>
    </w:p>
    <w:p w14:paraId="65521596" w14:textId="77777777" w:rsidR="00223263" w:rsidRPr="00223263" w:rsidRDefault="00C1658F" w:rsidP="00223263">
      <w:pPr>
        <w:numPr>
          <w:ilvl w:val="0"/>
          <w:numId w:val="4"/>
        </w:numPr>
        <w:spacing w:after="0" w:line="312" w:lineRule="atLeast"/>
        <w:ind w:left="225" w:right="225"/>
        <w:rPr>
          <w:rFonts w:ascii="Arial" w:eastAsia="Times New Roman" w:hAnsi="Arial" w:cs="Arial"/>
          <w:color w:val="000000"/>
          <w:sz w:val="20"/>
          <w:szCs w:val="20"/>
        </w:rPr>
      </w:pPr>
      <w:hyperlink r:id="rId11" w:anchor="500" w:history="1">
        <w:r w:rsidR="00223263" w:rsidRPr="00223263">
          <w:rPr>
            <w:rFonts w:ascii="Arial" w:eastAsia="Times New Roman" w:hAnsi="Arial" w:cs="Arial"/>
            <w:b/>
            <w:bCs/>
            <w:color w:val="551A8B"/>
            <w:sz w:val="20"/>
            <w:szCs w:val="20"/>
          </w:rPr>
          <w:t>500.00</w:t>
        </w:r>
      </w:hyperlink>
      <w:r w:rsidR="00223263" w:rsidRPr="0022326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 Approvals prior to purchase</w:t>
      </w:r>
      <w:r w:rsidR="003E18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and registration</w:t>
      </w:r>
    </w:p>
    <w:p w14:paraId="1912FBC7" w14:textId="77777777" w:rsidR="00223263" w:rsidRPr="00207053" w:rsidRDefault="00C1658F" w:rsidP="00223263">
      <w:pPr>
        <w:numPr>
          <w:ilvl w:val="0"/>
          <w:numId w:val="4"/>
        </w:numPr>
        <w:spacing w:after="0" w:line="312" w:lineRule="atLeast"/>
        <w:ind w:left="225" w:right="225"/>
        <w:rPr>
          <w:rFonts w:ascii="Arial" w:eastAsia="Times New Roman" w:hAnsi="Arial" w:cs="Arial"/>
          <w:color w:val="000000"/>
          <w:sz w:val="20"/>
          <w:szCs w:val="20"/>
        </w:rPr>
      </w:pPr>
      <w:hyperlink r:id="rId12" w:anchor="510" w:history="1">
        <w:r w:rsidR="00223263" w:rsidRPr="00223263">
          <w:rPr>
            <w:rFonts w:ascii="Arial" w:eastAsia="Times New Roman" w:hAnsi="Arial" w:cs="Arial"/>
            <w:b/>
            <w:bCs/>
            <w:color w:val="551A8B"/>
            <w:sz w:val="20"/>
            <w:szCs w:val="20"/>
          </w:rPr>
          <w:t>510.00</w:t>
        </w:r>
      </w:hyperlink>
      <w:r w:rsidR="00223263" w:rsidRPr="0022326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Information Technology Resources</w:t>
      </w:r>
    </w:p>
    <w:p w14:paraId="0851C46F" w14:textId="77777777" w:rsidR="00207053" w:rsidRPr="00223263" w:rsidRDefault="00207053" w:rsidP="00223263">
      <w:pPr>
        <w:numPr>
          <w:ilvl w:val="0"/>
          <w:numId w:val="4"/>
        </w:numPr>
        <w:spacing w:after="0" w:line="312" w:lineRule="atLeast"/>
        <w:ind w:left="225" w:right="225"/>
        <w:rPr>
          <w:rFonts w:ascii="Arial" w:eastAsia="Times New Roman" w:hAnsi="Arial" w:cs="Arial"/>
          <w:color w:val="000000"/>
          <w:sz w:val="20"/>
          <w:szCs w:val="20"/>
        </w:rPr>
      </w:pPr>
      <w:r w:rsidRPr="00207053">
        <w:rPr>
          <w:rFonts w:ascii="Arial" w:eastAsia="Times New Roman" w:hAnsi="Arial" w:cs="Arial"/>
          <w:b/>
          <w:bCs/>
          <w:color w:val="7030A0"/>
          <w:sz w:val="20"/>
          <w:szCs w:val="20"/>
        </w:rPr>
        <w:t>520.00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Policy</w:t>
      </w:r>
    </w:p>
    <w:p w14:paraId="43E98036" w14:textId="77777777" w:rsidR="00223263" w:rsidRPr="00223263" w:rsidRDefault="00223263" w:rsidP="00223263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2326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FE85FB2" w14:textId="77777777" w:rsidR="00223263" w:rsidRPr="00223263" w:rsidRDefault="00223263" w:rsidP="00223263">
      <w:pPr>
        <w:spacing w:before="199" w:after="199" w:line="384" w:lineRule="atLeast"/>
        <w:outlineLvl w:val="2"/>
        <w:rPr>
          <w:rFonts w:ascii="Helvetica" w:eastAsia="Times New Roman" w:hAnsi="Helvetica" w:cs="Helvetica"/>
          <w:b/>
          <w:bCs/>
          <w:color w:val="003F7F"/>
          <w:sz w:val="23"/>
          <w:szCs w:val="23"/>
        </w:rPr>
      </w:pPr>
      <w:bookmarkStart w:id="1" w:name="500"/>
      <w:bookmarkEnd w:id="1"/>
      <w:r w:rsidRPr="00223263">
        <w:rPr>
          <w:rFonts w:ascii="Helvetica" w:eastAsia="Times New Roman" w:hAnsi="Helvetica" w:cs="Helvetica"/>
          <w:b/>
          <w:bCs/>
          <w:color w:val="003F7F"/>
          <w:sz w:val="23"/>
          <w:szCs w:val="23"/>
        </w:rPr>
        <w:t xml:space="preserve">500.00 </w:t>
      </w:r>
      <w:r w:rsidR="003E1818">
        <w:rPr>
          <w:rFonts w:ascii="Helvetica" w:eastAsia="Times New Roman" w:hAnsi="Helvetica" w:cs="Helvetica"/>
          <w:b/>
          <w:bCs/>
          <w:color w:val="003F7F"/>
          <w:sz w:val="23"/>
          <w:szCs w:val="23"/>
        </w:rPr>
        <w:t>A</w:t>
      </w:r>
      <w:r w:rsidR="00207053">
        <w:rPr>
          <w:rFonts w:ascii="Helvetica" w:eastAsia="Times New Roman" w:hAnsi="Helvetica" w:cs="Helvetica"/>
          <w:b/>
          <w:bCs/>
          <w:color w:val="003F7F"/>
          <w:sz w:val="23"/>
          <w:szCs w:val="23"/>
        </w:rPr>
        <w:t>pproval</w:t>
      </w:r>
      <w:r w:rsidRPr="00223263">
        <w:rPr>
          <w:rFonts w:ascii="Helvetica" w:eastAsia="Times New Roman" w:hAnsi="Helvetica" w:cs="Helvetica"/>
          <w:b/>
          <w:bCs/>
          <w:color w:val="003F7F"/>
          <w:sz w:val="23"/>
          <w:szCs w:val="23"/>
        </w:rPr>
        <w:t xml:space="preserve"> prior to purchase</w:t>
      </w:r>
      <w:r w:rsidR="003E1818">
        <w:rPr>
          <w:rFonts w:ascii="Helvetica" w:eastAsia="Times New Roman" w:hAnsi="Helvetica" w:cs="Helvetica"/>
          <w:b/>
          <w:bCs/>
          <w:color w:val="003F7F"/>
          <w:sz w:val="23"/>
          <w:szCs w:val="23"/>
        </w:rPr>
        <w:t xml:space="preserve"> and registration</w:t>
      </w:r>
    </w:p>
    <w:p w14:paraId="40AC25D4" w14:textId="77777777" w:rsidR="001154CE" w:rsidRDefault="007D4465" w:rsidP="00223263">
      <w:pPr>
        <w:spacing w:after="150" w:line="312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For IT purchases made at MSU-Boz</w:t>
      </w:r>
      <w:r w:rsidR="005126F6">
        <w:rPr>
          <w:rFonts w:ascii="Arial" w:eastAsia="Times New Roman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man, d</w:t>
      </w:r>
      <w:r w:rsidR="00223263" w:rsidRPr="0022326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epartments are required to </w:t>
      </w:r>
      <w:r w:rsidR="002E0771">
        <w:rPr>
          <w:rFonts w:ascii="Arial" w:eastAsia="Times New Roman" w:hAnsi="Arial" w:cs="Arial"/>
          <w:b/>
          <w:bCs/>
          <w:color w:val="000000"/>
          <w:sz w:val="20"/>
          <w:szCs w:val="20"/>
        </w:rPr>
        <w:t>obtain prior approval for</w:t>
      </w:r>
      <w:r w:rsidR="00223263" w:rsidRPr="0022326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purchase</w:t>
      </w:r>
      <w:r w:rsidR="00E84668">
        <w:rPr>
          <w:rFonts w:ascii="Arial" w:eastAsia="Times New Roman" w:hAnsi="Arial" w:cs="Arial"/>
          <w:b/>
          <w:bCs/>
          <w:color w:val="000000"/>
          <w:sz w:val="20"/>
          <w:szCs w:val="20"/>
        </w:rPr>
        <w:t>s</w:t>
      </w:r>
      <w:r w:rsidR="003E18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and/or register purchases</w:t>
      </w:r>
      <w:r w:rsidR="00223263" w:rsidRPr="0022326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3E664F">
        <w:rPr>
          <w:rFonts w:ascii="Arial" w:eastAsia="Times New Roman" w:hAnsi="Arial" w:cs="Arial"/>
          <w:b/>
          <w:bCs/>
          <w:color w:val="000000"/>
          <w:sz w:val="20"/>
          <w:szCs w:val="20"/>
        </w:rPr>
        <w:t>in accordance with the Policy below</w:t>
      </w:r>
      <w:r w:rsidR="001154CE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14:paraId="2733FABA" w14:textId="77777777" w:rsidR="00223263" w:rsidRPr="00223263" w:rsidRDefault="005126F6" w:rsidP="00223263">
      <w:pPr>
        <w:spacing w:after="15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Each </w:t>
      </w:r>
      <w:r w:rsidR="007D446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Affiliated Campus shall establish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its</w:t>
      </w:r>
      <w:r w:rsidR="007D446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own Polic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y</w:t>
      </w:r>
      <w:r w:rsidR="007D446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for Information Technology purchases.</w:t>
      </w:r>
    </w:p>
    <w:p w14:paraId="10267AB4" w14:textId="77777777" w:rsidR="00223263" w:rsidRPr="00223263" w:rsidRDefault="00223263" w:rsidP="00223263">
      <w:pPr>
        <w:spacing w:before="199" w:after="199" w:line="384" w:lineRule="atLeast"/>
        <w:outlineLvl w:val="2"/>
        <w:rPr>
          <w:rFonts w:ascii="Helvetica" w:eastAsia="Times New Roman" w:hAnsi="Helvetica" w:cs="Helvetica"/>
          <w:b/>
          <w:bCs/>
          <w:color w:val="003F7F"/>
          <w:sz w:val="23"/>
          <w:szCs w:val="23"/>
        </w:rPr>
      </w:pPr>
      <w:bookmarkStart w:id="2" w:name="510"/>
      <w:bookmarkEnd w:id="2"/>
      <w:r w:rsidRPr="00223263">
        <w:rPr>
          <w:rFonts w:ascii="Helvetica" w:eastAsia="Times New Roman" w:hAnsi="Helvetica" w:cs="Helvetica"/>
          <w:b/>
          <w:bCs/>
          <w:color w:val="003F7F"/>
          <w:sz w:val="23"/>
          <w:szCs w:val="23"/>
        </w:rPr>
        <w:t>510.00 Information Technology Resources</w:t>
      </w:r>
    </w:p>
    <w:p w14:paraId="2F3E09A8" w14:textId="77777777" w:rsidR="00223263" w:rsidRPr="00223263" w:rsidRDefault="00223263" w:rsidP="00223263">
      <w:pPr>
        <w:spacing w:after="15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23263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Introduction</w:t>
      </w:r>
    </w:p>
    <w:p w14:paraId="7A0549B2" w14:textId="77777777" w:rsidR="00223263" w:rsidRPr="00223263" w:rsidRDefault="00223263" w:rsidP="00223263">
      <w:pPr>
        <w:spacing w:after="15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23263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At any dollar amount </w:t>
      </w:r>
      <w:r w:rsidR="00E84668">
        <w:rPr>
          <w:rFonts w:ascii="Arial" w:eastAsia="Times New Roman" w:hAnsi="Arial" w:cs="Arial"/>
          <w:color w:val="000000"/>
          <w:sz w:val="20"/>
          <w:szCs w:val="20"/>
        </w:rPr>
        <w:t>of information technology</w:t>
      </w:r>
      <w:r w:rsidR="00DF385E">
        <w:rPr>
          <w:rFonts w:ascii="Arial" w:eastAsia="Times New Roman" w:hAnsi="Arial" w:cs="Arial"/>
          <w:color w:val="000000"/>
          <w:sz w:val="20"/>
          <w:szCs w:val="20"/>
        </w:rPr>
        <w:t xml:space="preserve"> (IT)</w:t>
      </w:r>
      <w:r w:rsidR="00E84668" w:rsidRPr="0022326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23263">
        <w:rPr>
          <w:rFonts w:ascii="Arial" w:eastAsia="Times New Roman" w:hAnsi="Arial" w:cs="Arial"/>
          <w:color w:val="000000"/>
          <w:sz w:val="20"/>
          <w:szCs w:val="20"/>
        </w:rPr>
        <w:t>purchases</w:t>
      </w:r>
      <w:r w:rsidR="00E84668">
        <w:rPr>
          <w:rFonts w:ascii="Arial" w:eastAsia="Times New Roman" w:hAnsi="Arial" w:cs="Arial"/>
          <w:color w:val="000000"/>
          <w:sz w:val="20"/>
          <w:szCs w:val="20"/>
        </w:rPr>
        <w:t xml:space="preserve"> (hardware</w:t>
      </w:r>
      <w:r w:rsidR="003E181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E84668">
        <w:rPr>
          <w:rFonts w:ascii="Arial" w:eastAsia="Times New Roman" w:hAnsi="Arial" w:cs="Arial"/>
          <w:color w:val="000000"/>
          <w:sz w:val="20"/>
          <w:szCs w:val="20"/>
        </w:rPr>
        <w:t xml:space="preserve"> software</w:t>
      </w:r>
      <w:r w:rsidR="003E1818">
        <w:rPr>
          <w:rFonts w:ascii="Arial" w:eastAsia="Times New Roman" w:hAnsi="Arial" w:cs="Arial"/>
          <w:color w:val="000000"/>
          <w:sz w:val="20"/>
          <w:szCs w:val="20"/>
        </w:rPr>
        <w:t>, and services</w:t>
      </w:r>
      <w:r w:rsidR="00E84668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223263">
        <w:rPr>
          <w:rFonts w:ascii="Arial" w:eastAsia="Times New Roman" w:hAnsi="Arial" w:cs="Arial"/>
          <w:color w:val="000000"/>
          <w:sz w:val="20"/>
          <w:szCs w:val="20"/>
        </w:rPr>
        <w:t xml:space="preserve"> can have risks associated with them, such as problems with regulatory compliance, information security</w:t>
      </w:r>
      <w:r w:rsidR="003E664F">
        <w:rPr>
          <w:rFonts w:ascii="Arial" w:eastAsia="Times New Roman" w:hAnsi="Arial" w:cs="Arial"/>
          <w:color w:val="000000"/>
          <w:sz w:val="20"/>
          <w:szCs w:val="20"/>
        </w:rPr>
        <w:t xml:space="preserve"> and privacy</w:t>
      </w:r>
      <w:r w:rsidRPr="00223263">
        <w:rPr>
          <w:rFonts w:ascii="Arial" w:eastAsia="Times New Roman" w:hAnsi="Arial" w:cs="Arial"/>
          <w:color w:val="000000"/>
          <w:sz w:val="20"/>
          <w:szCs w:val="20"/>
        </w:rPr>
        <w:t>, FERPA requirements, export-control, system compatibility, system support, or performance degradation of the computing environment resulting in adverse impacts for other</w:t>
      </w:r>
      <w:r w:rsidR="003E1818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223263">
        <w:rPr>
          <w:rFonts w:ascii="Arial" w:eastAsia="Times New Roman" w:hAnsi="Arial" w:cs="Arial"/>
          <w:color w:val="000000"/>
          <w:sz w:val="20"/>
          <w:szCs w:val="20"/>
        </w:rPr>
        <w:t>. Unfortunately there is no price threshold or easy way to define for constituents what type or level of purchase could pose a risk to the computing environment, other constituents in the computing environment, or MSU as a whole.</w:t>
      </w:r>
      <w:r w:rsidR="00D423D7">
        <w:rPr>
          <w:rFonts w:ascii="Arial" w:eastAsia="Times New Roman" w:hAnsi="Arial" w:cs="Arial"/>
          <w:color w:val="000000"/>
          <w:sz w:val="20"/>
          <w:szCs w:val="20"/>
        </w:rPr>
        <w:t xml:space="preserve">  The </w:t>
      </w:r>
      <w:proofErr w:type="gramStart"/>
      <w:r w:rsidR="00D423D7">
        <w:rPr>
          <w:rFonts w:ascii="Arial" w:eastAsia="Times New Roman" w:hAnsi="Arial" w:cs="Arial"/>
          <w:color w:val="000000"/>
          <w:sz w:val="20"/>
          <w:szCs w:val="20"/>
        </w:rPr>
        <w:t>risks</w:t>
      </w:r>
      <w:proofErr w:type="gramEnd"/>
      <w:r w:rsidR="00D423D7">
        <w:rPr>
          <w:rFonts w:ascii="Arial" w:eastAsia="Times New Roman" w:hAnsi="Arial" w:cs="Arial"/>
          <w:color w:val="000000"/>
          <w:sz w:val="20"/>
          <w:szCs w:val="20"/>
        </w:rPr>
        <w:t xml:space="preserve"> associated with IT purchases and this Policy apply to MSU purchases regardless of the source of funds. </w:t>
      </w:r>
    </w:p>
    <w:p w14:paraId="37E91F6F" w14:textId="376017F3" w:rsidR="00900DF3" w:rsidRDefault="00900DF3" w:rsidP="00900DF3">
      <w:pPr>
        <w:spacing w:after="15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23263">
        <w:rPr>
          <w:rFonts w:ascii="Arial" w:eastAsia="Times New Roman" w:hAnsi="Arial" w:cs="Arial"/>
          <w:color w:val="000000"/>
          <w:sz w:val="20"/>
          <w:szCs w:val="20"/>
        </w:rPr>
        <w:t xml:space="preserve">In order to </w:t>
      </w:r>
      <w:r>
        <w:rPr>
          <w:rFonts w:ascii="Arial" w:eastAsia="Times New Roman" w:hAnsi="Arial" w:cs="Arial"/>
          <w:color w:val="000000"/>
          <w:sz w:val="20"/>
          <w:szCs w:val="20"/>
        </w:rPr>
        <w:t>address the risks as simply as</w:t>
      </w:r>
      <w:r w:rsidRPr="00223263">
        <w:rPr>
          <w:rFonts w:ascii="Arial" w:eastAsia="Times New Roman" w:hAnsi="Arial" w:cs="Arial"/>
          <w:color w:val="000000"/>
          <w:sz w:val="20"/>
          <w:szCs w:val="20"/>
        </w:rPr>
        <w:t xml:space="preserve"> possible, </w:t>
      </w:r>
      <w:r w:rsidR="00FD73D0">
        <w:rPr>
          <w:rFonts w:ascii="Arial" w:eastAsia="Times New Roman" w:hAnsi="Arial" w:cs="Arial"/>
          <w:color w:val="000000"/>
          <w:sz w:val="20"/>
          <w:szCs w:val="20"/>
        </w:rPr>
        <w:t>University Information Technology</w:t>
      </w:r>
      <w:r w:rsidR="009312ED">
        <w:rPr>
          <w:rFonts w:ascii="Arial" w:eastAsia="Times New Roman" w:hAnsi="Arial" w:cs="Arial"/>
          <w:color w:val="000000"/>
          <w:sz w:val="20"/>
          <w:szCs w:val="20"/>
        </w:rPr>
        <w:t xml:space="preserve"> (UIT)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23263">
        <w:rPr>
          <w:rFonts w:ascii="Arial" w:eastAsia="Times New Roman" w:hAnsi="Arial" w:cs="Arial"/>
          <w:color w:val="000000"/>
          <w:sz w:val="20"/>
          <w:szCs w:val="20"/>
        </w:rPr>
        <w:t xml:space="preserve">maintains a list of pre-approved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computing devices </w:t>
      </w:r>
      <w:r w:rsidRPr="00223263">
        <w:rPr>
          <w:rFonts w:ascii="Arial" w:eastAsia="Times New Roman" w:hAnsi="Arial" w:cs="Arial"/>
          <w:color w:val="000000"/>
          <w:sz w:val="20"/>
          <w:szCs w:val="20"/>
        </w:rPr>
        <w:t xml:space="preserve">at the IT Purchasing Support web site. MSU-negotiated contracts and volume discounts are made available at this site for direct purchasing whenever possible.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Purchasing through the vendor portals (preferred vendors) through this website is encouraged.  </w:t>
      </w:r>
      <w:r w:rsidRPr="00223263">
        <w:rPr>
          <w:rFonts w:ascii="Arial" w:eastAsia="Times New Roman" w:hAnsi="Arial" w:cs="Arial"/>
          <w:color w:val="000000"/>
          <w:sz w:val="20"/>
          <w:szCs w:val="20"/>
        </w:rPr>
        <w:t>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312ED">
        <w:rPr>
          <w:rFonts w:ascii="Arial" w:eastAsia="Times New Roman" w:hAnsi="Arial" w:cs="Arial"/>
          <w:color w:val="000000"/>
          <w:sz w:val="20"/>
          <w:szCs w:val="20"/>
        </w:rPr>
        <w:t>UIT</w:t>
      </w:r>
      <w:r w:rsidRPr="00223263">
        <w:rPr>
          <w:rFonts w:ascii="Arial" w:eastAsia="Times New Roman" w:hAnsi="Arial" w:cs="Arial"/>
          <w:color w:val="000000"/>
          <w:sz w:val="20"/>
          <w:szCs w:val="20"/>
        </w:rPr>
        <w:t xml:space="preserve"> also offers custom systems, consultation, and assistance through </w:t>
      </w:r>
      <w:r>
        <w:rPr>
          <w:rFonts w:ascii="Arial" w:eastAsia="Times New Roman" w:hAnsi="Arial" w:cs="Arial"/>
          <w:color w:val="000000"/>
          <w:sz w:val="20"/>
          <w:szCs w:val="20"/>
        </w:rPr>
        <w:t>the IT store</w:t>
      </w:r>
      <w:r w:rsidRPr="0022326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8B8B8F1" w14:textId="54F52A06" w:rsidR="007E3D9D" w:rsidRPr="00223263" w:rsidRDefault="009312ED" w:rsidP="00223263">
      <w:pPr>
        <w:spacing w:after="15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UIT</w:t>
      </w:r>
      <w:r w:rsidR="007E3D9D">
        <w:rPr>
          <w:rFonts w:ascii="Arial" w:eastAsia="Times New Roman" w:hAnsi="Arial" w:cs="Arial"/>
          <w:color w:val="000000"/>
          <w:sz w:val="20"/>
          <w:szCs w:val="20"/>
        </w:rPr>
        <w:t xml:space="preserve"> also</w:t>
      </w:r>
      <w:r w:rsidR="007E3D9D" w:rsidRPr="007E3D9D">
        <w:rPr>
          <w:rFonts w:ascii="Arial" w:eastAsia="Times New Roman" w:hAnsi="Arial" w:cs="Arial"/>
          <w:color w:val="000000"/>
          <w:sz w:val="20"/>
          <w:szCs w:val="20"/>
        </w:rPr>
        <w:t xml:space="preserve"> provides a list of </w:t>
      </w:r>
      <w:r w:rsidR="007E3D9D">
        <w:rPr>
          <w:rFonts w:ascii="Arial" w:eastAsia="Times New Roman" w:hAnsi="Arial" w:cs="Arial"/>
          <w:color w:val="000000"/>
          <w:sz w:val="20"/>
          <w:szCs w:val="20"/>
        </w:rPr>
        <w:t>site-licensed</w:t>
      </w:r>
      <w:r w:rsidR="007E3D9D" w:rsidRPr="007E3D9D">
        <w:rPr>
          <w:rFonts w:ascii="Arial" w:eastAsia="Times New Roman" w:hAnsi="Arial" w:cs="Arial"/>
          <w:color w:val="000000"/>
          <w:sz w:val="20"/>
          <w:szCs w:val="20"/>
        </w:rPr>
        <w:t xml:space="preserve"> software purchased by the University for the University community.  Before purchasing</w:t>
      </w:r>
      <w:r w:rsidR="00900DF3">
        <w:rPr>
          <w:rFonts w:ascii="Arial" w:eastAsia="Times New Roman" w:hAnsi="Arial" w:cs="Arial"/>
          <w:color w:val="000000"/>
          <w:sz w:val="20"/>
          <w:szCs w:val="20"/>
        </w:rPr>
        <w:t xml:space="preserve"> any</w:t>
      </w:r>
      <w:r w:rsidR="007E3D9D" w:rsidRPr="007E3D9D">
        <w:rPr>
          <w:rFonts w:ascii="Arial" w:eastAsia="Times New Roman" w:hAnsi="Arial" w:cs="Arial"/>
          <w:color w:val="000000"/>
          <w:sz w:val="20"/>
          <w:szCs w:val="20"/>
        </w:rPr>
        <w:t xml:space="preserve"> software, employees</w:t>
      </w:r>
      <w:r w:rsidR="00760D3E">
        <w:rPr>
          <w:rFonts w:ascii="Arial" w:eastAsia="Times New Roman" w:hAnsi="Arial" w:cs="Arial"/>
          <w:color w:val="000000"/>
          <w:sz w:val="20"/>
          <w:szCs w:val="20"/>
        </w:rPr>
        <w:t xml:space="preserve"> are encouraged to </w:t>
      </w:r>
      <w:r w:rsidR="007E3D9D" w:rsidRPr="007E3D9D">
        <w:rPr>
          <w:rFonts w:ascii="Arial" w:eastAsia="Times New Roman" w:hAnsi="Arial" w:cs="Arial"/>
          <w:color w:val="000000"/>
          <w:sz w:val="20"/>
          <w:szCs w:val="20"/>
        </w:rPr>
        <w:t xml:space="preserve">review this list at 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UIT </w:t>
      </w:r>
      <w:r w:rsidR="007E3D9D" w:rsidRPr="007E3D9D">
        <w:rPr>
          <w:rFonts w:ascii="Arial" w:eastAsia="Times New Roman" w:hAnsi="Arial" w:cs="Arial"/>
          <w:color w:val="000000"/>
          <w:sz w:val="20"/>
          <w:szCs w:val="20"/>
        </w:rPr>
        <w:t>Procurement Support website</w:t>
      </w:r>
      <w:r w:rsidR="00180CD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7E3D9D" w:rsidRPr="007E3D9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619BFCF2" w14:textId="128C42A5" w:rsidR="009537B8" w:rsidRDefault="003E664F" w:rsidP="00223263">
      <w:pPr>
        <w:spacing w:after="15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University </w:t>
      </w:r>
      <w:r w:rsidR="00760D3E">
        <w:rPr>
          <w:rFonts w:ascii="Arial" w:eastAsia="Times New Roman" w:hAnsi="Arial" w:cs="Arial"/>
          <w:color w:val="000000"/>
          <w:sz w:val="20"/>
          <w:szCs w:val="20"/>
        </w:rPr>
        <w:t>will also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establi</w:t>
      </w:r>
      <w:r w:rsidR="00760D3E">
        <w:rPr>
          <w:rFonts w:ascii="Arial" w:eastAsia="Times New Roman" w:hAnsi="Arial" w:cs="Arial"/>
          <w:color w:val="000000"/>
          <w:sz w:val="20"/>
          <w:szCs w:val="20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 system for registration of </w:t>
      </w:r>
      <w:r w:rsidR="00760D3E">
        <w:rPr>
          <w:rFonts w:ascii="Arial" w:eastAsia="Times New Roman" w:hAnsi="Arial" w:cs="Arial"/>
          <w:color w:val="000000"/>
          <w:sz w:val="20"/>
          <w:szCs w:val="20"/>
        </w:rPr>
        <w:t xml:space="preserve">institutional computing </w:t>
      </w:r>
      <w:r w:rsidR="009537B8">
        <w:rPr>
          <w:rFonts w:ascii="Arial" w:eastAsia="Times New Roman" w:hAnsi="Arial" w:cs="Arial"/>
          <w:color w:val="000000"/>
          <w:sz w:val="20"/>
          <w:szCs w:val="20"/>
        </w:rPr>
        <w:t>hardware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="00900DF3">
        <w:rPr>
          <w:rFonts w:ascii="Arial" w:eastAsia="Times New Roman" w:hAnsi="Arial" w:cs="Arial"/>
          <w:color w:val="000000"/>
          <w:sz w:val="20"/>
          <w:szCs w:val="20"/>
        </w:rPr>
        <w:t xml:space="preserve">Computing devices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must be registered with this registration system as described below.  </w:t>
      </w:r>
    </w:p>
    <w:p w14:paraId="3843B272" w14:textId="060BF479" w:rsidR="00900DF3" w:rsidRDefault="00900DF3" w:rsidP="00900DF3">
      <w:pPr>
        <w:spacing w:after="15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In addition, some purchases of hardware, software, and IT consulting </w:t>
      </w:r>
      <w:r w:rsidR="00760D3E">
        <w:rPr>
          <w:rFonts w:ascii="Arial" w:eastAsia="Times New Roman" w:hAnsi="Arial" w:cs="Arial"/>
          <w:color w:val="000000"/>
          <w:sz w:val="20"/>
          <w:szCs w:val="20"/>
        </w:rPr>
        <w:t>requires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prior approval by </w:t>
      </w:r>
      <w:r w:rsidR="009312ED">
        <w:rPr>
          <w:rFonts w:ascii="Arial" w:eastAsia="Times New Roman" w:hAnsi="Arial" w:cs="Arial"/>
          <w:color w:val="000000"/>
          <w:sz w:val="20"/>
          <w:szCs w:val="20"/>
        </w:rPr>
        <w:t>University Information Technology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 alignment with the MSU Enterprise Technology Policy at </w:t>
      </w:r>
      <w:r w:rsidRPr="00900DF3">
        <w:rPr>
          <w:rFonts w:ascii="Arial" w:eastAsia="Times New Roman" w:hAnsi="Arial" w:cs="Arial"/>
          <w:color w:val="000000"/>
          <w:sz w:val="20"/>
          <w:szCs w:val="20"/>
        </w:rPr>
        <w:t>http://www.montana.edu/policy/enterprise_it/technology_management.html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B2F4DB9" w14:textId="742955AE" w:rsidR="00253D46" w:rsidRPr="00BF2AFC" w:rsidRDefault="00D423D7" w:rsidP="00F63C13">
      <w:pPr>
        <w:spacing w:after="150" w:line="312" w:lineRule="atLeast"/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</w:pPr>
      <w:r w:rsidRPr="00BF2AFC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 xml:space="preserve">The requirements of this Section 500.00 apply </w:t>
      </w:r>
      <w:r w:rsidR="00BF2AFC" w:rsidRPr="00BF2AFC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 xml:space="preserve">in </w:t>
      </w:r>
      <w:r w:rsidR="00BF2AFC" w:rsidRPr="00BF2A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add</w:t>
      </w:r>
      <w:r w:rsidR="00BF2A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</w:t>
      </w:r>
      <w:r w:rsidR="00BF2AFC" w:rsidRPr="00BF2A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tion</w:t>
      </w:r>
      <w:r w:rsidR="00BF2AFC" w:rsidRPr="00BF2AFC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 xml:space="preserve"> to </w:t>
      </w:r>
      <w:r w:rsidRPr="00BF2AFC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 xml:space="preserve">all other requirements MSU’s Procurement Policies and Procedures </w:t>
      </w:r>
      <w:r w:rsidR="00F663E2" w:rsidRPr="00BF2AFC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 xml:space="preserve">and </w:t>
      </w:r>
      <w:r w:rsidRPr="00BF2AFC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state purchase laws and regulations</w:t>
      </w:r>
      <w:r w:rsidR="00F663E2" w:rsidRPr="00BF2AFC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.</w:t>
      </w:r>
      <w:r w:rsidRPr="00BF2AFC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 xml:space="preserve"> </w:t>
      </w:r>
      <w:r w:rsidR="004B0258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 xml:space="preserve">Applicable IT policies may be found at </w:t>
      </w:r>
      <w:hyperlink r:id="rId13" w:history="1">
        <w:r w:rsidR="004B0258" w:rsidRPr="00293210">
          <w:rPr>
            <w:rStyle w:val="Hyperlink"/>
            <w:rFonts w:ascii="Arial" w:eastAsia="Times New Roman" w:hAnsi="Arial" w:cs="Arial"/>
            <w:bCs/>
            <w:i/>
            <w:iCs/>
            <w:sz w:val="20"/>
            <w:szCs w:val="20"/>
          </w:rPr>
          <w:t>http://www.montana.edu/policy</w:t>
        </w:r>
      </w:hyperlink>
      <w:r w:rsidR="004B0258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 xml:space="preserve"> see Enterprise Information Technology</w:t>
      </w:r>
    </w:p>
    <w:p w14:paraId="40C5ABE4" w14:textId="77777777" w:rsidR="00253D46" w:rsidRDefault="00253D46" w:rsidP="00F63C13">
      <w:pPr>
        <w:spacing w:after="150" w:line="312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A602311" w14:textId="77777777" w:rsidR="00F63C13" w:rsidRPr="001154CE" w:rsidRDefault="00223263" w:rsidP="001154CE">
      <w:pPr>
        <w:pStyle w:val="ListParagraph"/>
        <w:numPr>
          <w:ilvl w:val="0"/>
          <w:numId w:val="8"/>
        </w:numPr>
        <w:spacing w:after="150" w:line="312" w:lineRule="atLeast"/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</w:pPr>
      <w:r w:rsidRPr="001154C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Policy</w:t>
      </w:r>
    </w:p>
    <w:p w14:paraId="030ACC33" w14:textId="616403B1" w:rsidR="00CB243D" w:rsidRDefault="00932F07" w:rsidP="00CB243D">
      <w:pPr>
        <w:pStyle w:val="ListParagraph"/>
        <w:spacing w:after="150" w:line="312" w:lineRule="atLeast"/>
        <w:rPr>
          <w:rFonts w:ascii="Helvetica" w:hAnsi="Helvetica" w:cs="Helvetica"/>
          <w:color w:val="2F5496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521.00 </w:t>
      </w:r>
      <w:r w:rsidR="004A344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Hardware</w:t>
      </w:r>
      <w:r w:rsidR="00F63C13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 Purchase Registration</w:t>
      </w:r>
      <w:r w:rsidR="004A344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 Requirements</w:t>
      </w:r>
      <w:r w:rsidR="00CB243D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.  </w:t>
      </w:r>
      <w:r w:rsidR="00CB243D">
        <w:rPr>
          <w:rFonts w:ascii="Helvetica" w:hAnsi="Helvetica" w:cs="Helvetica"/>
          <w:color w:val="2F5496"/>
          <w:sz w:val="23"/>
          <w:szCs w:val="23"/>
        </w:rPr>
        <w:t>All computing devices including (but not limited to) desktop, laptop, and tablet computers must be registered with the Universit</w:t>
      </w:r>
      <w:r w:rsidR="004B0258">
        <w:rPr>
          <w:rFonts w:ascii="Helvetica" w:hAnsi="Helvetica" w:cs="Helvetica"/>
          <w:color w:val="2F5496"/>
          <w:sz w:val="23"/>
          <w:szCs w:val="23"/>
        </w:rPr>
        <w:t>y</w:t>
      </w:r>
      <w:r w:rsidR="00CB243D">
        <w:rPr>
          <w:rFonts w:ascii="Helvetica" w:hAnsi="Helvetica" w:cs="Helvetica"/>
          <w:color w:val="2F5496"/>
          <w:sz w:val="23"/>
          <w:szCs w:val="23"/>
        </w:rPr>
        <w:t>.  Departments must register hardware on the list within 30 days of purchase. </w:t>
      </w:r>
    </w:p>
    <w:p w14:paraId="33013491" w14:textId="50487FFE" w:rsidR="00CB243D" w:rsidRDefault="00CB243D" w:rsidP="00CB243D">
      <w:pPr>
        <w:pStyle w:val="ListParagraph"/>
        <w:spacing w:after="150" w:line="312" w:lineRule="atLeast"/>
        <w:rPr>
          <w:rFonts w:ascii="Helvetica" w:hAnsi="Helvetica" w:cs="Helvetica"/>
          <w:color w:val="2F5496"/>
          <w:sz w:val="23"/>
          <w:szCs w:val="23"/>
        </w:rPr>
      </w:pPr>
      <w:r>
        <w:rPr>
          <w:rFonts w:ascii="Helvetica" w:hAnsi="Helvetica" w:cs="Helvetica"/>
          <w:color w:val="2F5496"/>
          <w:sz w:val="23"/>
          <w:szCs w:val="23"/>
        </w:rPr>
        <w:t xml:space="preserve"> </w:t>
      </w:r>
    </w:p>
    <w:p w14:paraId="26B1F1CB" w14:textId="77777777" w:rsidR="009312ED" w:rsidRDefault="00932F07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522.00 </w:t>
      </w:r>
      <w:r w:rsidR="00900DF3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Networking Equipment Requires </w:t>
      </w:r>
      <w:r w:rsidR="00DE2297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Prior Approval.  </w:t>
      </w:r>
      <w:r w:rsidR="009312ED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University Information </w:t>
      </w:r>
    </w:p>
    <w:p w14:paraId="67077E28" w14:textId="71AC04FA" w:rsidR="00900DF3" w:rsidRDefault="009312ED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</w:pPr>
      <w:r w:rsidRPr="009312ED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Technology</w:t>
      </w:r>
      <w:r w:rsidR="004A344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must </w:t>
      </w:r>
      <w:r w:rsidR="004B0258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pre-</w:t>
      </w:r>
      <w:r w:rsidR="004A344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approve</w:t>
      </w:r>
      <w:r w:rsidR="004B0258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</w:t>
      </w:r>
      <w:r w:rsidR="00C93502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all </w:t>
      </w:r>
      <w:r w:rsidR="00900DF3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network</w:t>
      </w:r>
      <w:r w:rsidR="00C93502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ing</w:t>
      </w:r>
      <w:r w:rsidR="00900DF3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equipment including, but not limited to, bridges, routers, and switches.</w:t>
      </w:r>
    </w:p>
    <w:p w14:paraId="257FC410" w14:textId="77777777" w:rsidR="00900DF3" w:rsidRDefault="00900DF3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</w:pPr>
    </w:p>
    <w:p w14:paraId="2E82A937" w14:textId="0E6E7EA5" w:rsidR="004B0258" w:rsidRDefault="00900DF3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</w:pPr>
      <w:r w:rsidRPr="001154C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523.00 </w:t>
      </w:r>
      <w:r w:rsidR="006A48CF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Servers</w:t>
      </w:r>
      <w:r w:rsidRPr="001154C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 </w:t>
      </w:r>
      <w:r w:rsidR="004B0258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Require Registration and Security Provisions</w:t>
      </w:r>
      <w:r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. </w:t>
      </w:r>
    </w:p>
    <w:p w14:paraId="450DA0EB" w14:textId="77777777" w:rsidR="004B0258" w:rsidRDefault="004B0258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</w:pPr>
    </w:p>
    <w:p w14:paraId="36E3315C" w14:textId="581E1616" w:rsidR="004B0258" w:rsidRDefault="004B0258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lastRenderedPageBreak/>
        <w:t xml:space="preserve">523.01 </w:t>
      </w:r>
      <w:r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All servers, regardless of source of funds for purchase, must be registered with the </w:t>
      </w:r>
      <w:r w:rsidR="00AA05D8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University</w:t>
      </w:r>
      <w:r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.  </w:t>
      </w:r>
    </w:p>
    <w:p w14:paraId="0FAC1511" w14:textId="77777777" w:rsidR="004B0258" w:rsidRDefault="004B0258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523.01 </w:t>
      </w:r>
      <w:r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A system administrator shall be identified for all servers.  This information will be reviewed and updated on an annual basis.  </w:t>
      </w:r>
    </w:p>
    <w:p w14:paraId="1DB4D5A0" w14:textId="37F7B4B8" w:rsidR="004B0258" w:rsidRDefault="004B0258" w:rsidP="00731591">
      <w:pPr>
        <w:pStyle w:val="ListParagraph"/>
        <w:spacing w:after="150" w:line="312" w:lineRule="atLeast"/>
        <w:ind w:left="1440"/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523.01a</w:t>
      </w:r>
      <w:r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The System administrator has responsibility for assuring compliance with MSU and MUS IT policies.</w:t>
      </w:r>
    </w:p>
    <w:p w14:paraId="7A04D3EF" w14:textId="1C9747FB" w:rsidR="004B0258" w:rsidRPr="00731591" w:rsidRDefault="004B0258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523.02 </w:t>
      </w:r>
      <w:r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To the extent practicable, all servers shall have installed </w:t>
      </w:r>
      <w:r w:rsidR="002D7D48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any required software as defined by the campus IT standard </w:t>
      </w:r>
      <w:r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to check for known vulnerabilities.  The Chief Security Officer may exempt a server from this requirement.</w:t>
      </w:r>
    </w:p>
    <w:p w14:paraId="2F2F1778" w14:textId="77777777" w:rsidR="001154CE" w:rsidRDefault="001154CE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</w:pPr>
    </w:p>
    <w:p w14:paraId="3CA42173" w14:textId="43540F90" w:rsidR="004A344E" w:rsidRDefault="00932F07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52</w:t>
      </w:r>
      <w:r w:rsidR="00900DF3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4</w:t>
      </w:r>
      <w:r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.00  </w:t>
      </w:r>
      <w:r w:rsidR="00760D3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Cloud</w:t>
      </w:r>
      <w:proofErr w:type="gramEnd"/>
      <w:r w:rsidR="00760D3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 Based Data Storage </w:t>
      </w:r>
      <w:r w:rsidR="004A344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Requir</w:t>
      </w:r>
      <w:r w:rsidR="00760D3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es</w:t>
      </w:r>
      <w:r w:rsidR="00C1658F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 Prior UIT</w:t>
      </w:r>
      <w:r w:rsidR="004A344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 Approval.  </w:t>
      </w:r>
      <w:r w:rsidR="009312ED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University Information Technology</w:t>
      </w:r>
      <w:r w:rsidR="00732A03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must approve, prior to purchase</w:t>
      </w:r>
      <w:r w:rsidR="00760D3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any </w:t>
      </w:r>
      <w:r w:rsidR="00AA05D8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cloud</w:t>
      </w:r>
      <w:r w:rsidR="00760D3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based </w:t>
      </w:r>
      <w:r w:rsidR="00732A03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software which </w:t>
      </w:r>
      <w:r w:rsidR="001154C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store</w:t>
      </w:r>
      <w:r w:rsidR="00760D3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s</w:t>
      </w:r>
      <w:r w:rsidR="001154C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confidential </w:t>
      </w:r>
      <w:r w:rsidR="00760D3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or FERP</w:t>
      </w:r>
      <w:r w:rsidR="00AA05D8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A</w:t>
      </w:r>
      <w:r w:rsidR="00760D3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protected </w:t>
      </w:r>
      <w:r w:rsidR="001154C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University data</w:t>
      </w:r>
      <w:r w:rsidR="00FD03D1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;</w:t>
      </w:r>
      <w:r w:rsidR="00AA05D8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</w:t>
      </w:r>
      <w:r w:rsidR="009312ED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UIT </w:t>
      </w:r>
      <w:r w:rsidR="00AA05D8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will conduct</w:t>
      </w:r>
      <w:r w:rsidR="00FD03D1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</w:t>
      </w:r>
      <w:r w:rsidR="00AA05D8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t</w:t>
      </w:r>
      <w:r w:rsidR="00760D3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he</w:t>
      </w:r>
      <w:r w:rsidR="004B0258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initial assessment of the security of these software solutions in a timely manner.</w:t>
      </w:r>
    </w:p>
    <w:p w14:paraId="7FA3FDDC" w14:textId="77777777" w:rsidR="001154CE" w:rsidRPr="001154CE" w:rsidRDefault="001154CE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</w:pPr>
    </w:p>
    <w:p w14:paraId="514ECCE5" w14:textId="3B7DEAB0" w:rsidR="001154CE" w:rsidRDefault="00932F07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52</w:t>
      </w:r>
      <w:r w:rsidR="001154C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5</w:t>
      </w:r>
      <w:r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.00 </w:t>
      </w:r>
      <w:r w:rsidR="00B1617C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IT Consulting Requiring Prior </w:t>
      </w:r>
      <w:r w:rsidR="009312ED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University Information Technology</w:t>
      </w:r>
      <w:r w:rsidR="00B1617C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 Approval.  </w:t>
      </w:r>
      <w:r w:rsidR="009312ED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University Information Technology</w:t>
      </w:r>
      <w:r w:rsidR="00B1617C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m</w:t>
      </w:r>
      <w:r w:rsidR="00B35A2A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ust</w:t>
      </w:r>
      <w:r w:rsidR="00B1617C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approve, prior to engaging, consulting services related to IT matters which could affect the IT network or other IT policies or requirements. </w:t>
      </w:r>
      <w:r w:rsidR="009312ED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UIT </w:t>
      </w:r>
      <w:r w:rsidR="004B0258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will provide this review in a timely manner.</w:t>
      </w:r>
    </w:p>
    <w:p w14:paraId="57173D4A" w14:textId="77777777" w:rsidR="001154CE" w:rsidRDefault="001154CE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</w:pPr>
    </w:p>
    <w:p w14:paraId="31972064" w14:textId="2DE1EA7D" w:rsidR="00B35A2A" w:rsidRDefault="00932F07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52</w:t>
      </w:r>
      <w:r w:rsidR="001154C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6</w:t>
      </w:r>
      <w:r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.00 </w:t>
      </w:r>
      <w:r w:rsidR="009312ED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UIT</w:t>
      </w:r>
      <w:r w:rsidR="002F7E4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 Procedures for Pre-approval.  </w:t>
      </w:r>
      <w:r w:rsidR="009312ED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University Information Technology</w:t>
      </w:r>
      <w:r w:rsidR="002F7E4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shall establish procedures </w:t>
      </w:r>
      <w:r w:rsidR="00BC7D99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for </w:t>
      </w:r>
      <w:r w:rsidR="002F7E4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submission of proposed p</w:t>
      </w:r>
      <w:r w:rsidR="00C1658F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urchases which require UIT</w:t>
      </w:r>
      <w:bookmarkStart w:id="3" w:name="_GoBack"/>
      <w:bookmarkEnd w:id="3"/>
      <w:r w:rsidR="002F7E4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approval.  </w:t>
      </w:r>
      <w:r w:rsidR="009312ED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UIT</w:t>
      </w:r>
      <w:r w:rsidR="002F7E4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shall consider such submissions </w:t>
      </w:r>
      <w:r w:rsidR="00FD03D1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in a timely manner</w:t>
      </w:r>
      <w:r w:rsidR="002F7E4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and provide a written explanation of any denials.</w:t>
      </w:r>
    </w:p>
    <w:p w14:paraId="0DC2745F" w14:textId="77777777" w:rsidR="001154CE" w:rsidRDefault="001154CE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</w:pPr>
    </w:p>
    <w:p w14:paraId="77F72465" w14:textId="0CA47149" w:rsidR="001154CE" w:rsidRDefault="001154CE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</w:pPr>
      <w:r w:rsidRPr="001154C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527.00 </w:t>
      </w:r>
      <w:r w:rsidR="009312ED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University Information Technology</w:t>
      </w:r>
      <w:r w:rsidRPr="001154C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 Policy Oversight</w:t>
      </w:r>
      <w:r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.  </w:t>
      </w:r>
      <w:r w:rsidR="009312ED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University Information Technology</w:t>
      </w:r>
      <w:r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shall be responsible for interpreting the requirements of this Policy, and it shall provide guidance concerning which hardware and software </w:t>
      </w:r>
      <w:r w:rsidR="00FD03D1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must be registered or receive prior approval for pu</w:t>
      </w:r>
      <w:r w:rsidR="005F4A1F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r</w:t>
      </w:r>
      <w:r w:rsidR="00FD03D1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chasing</w:t>
      </w:r>
      <w:r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as required by the Policy.  Any questions about the application of the Policy to specific purchases of hardware or software shall be addressed to the </w:t>
      </w:r>
      <w:r w:rsidR="009312ED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UIT</w:t>
      </w:r>
      <w:r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.</w:t>
      </w:r>
    </w:p>
    <w:p w14:paraId="5F3C2642" w14:textId="77777777" w:rsidR="001154CE" w:rsidRPr="001154CE" w:rsidRDefault="001154CE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</w:pPr>
    </w:p>
    <w:p w14:paraId="21949DA7" w14:textId="77F9D604" w:rsidR="002F7E4E" w:rsidRDefault="00932F07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52</w:t>
      </w:r>
      <w:r w:rsidR="001154C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8</w:t>
      </w:r>
      <w:r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.00 </w:t>
      </w:r>
      <w:r w:rsidR="009312ED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University Information Technology</w:t>
      </w:r>
      <w:r w:rsidR="002F7E4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 </w:t>
      </w:r>
      <w:r w:rsidR="007E3D9D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Involvement in</w:t>
      </w:r>
      <w:r w:rsidR="002F7E4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 IT Purchases over $</w:t>
      </w:r>
      <w:r w:rsidR="00760D3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5</w:t>
      </w:r>
      <w:r w:rsidR="002F7E4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,000.</w:t>
      </w:r>
      <w:r w:rsidR="002F7E4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</w:t>
      </w:r>
      <w:r w:rsidR="007E3D9D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Under the guidance of MSU Procurement services, </w:t>
      </w:r>
      <w:r w:rsidR="009312ED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UIT</w:t>
      </w:r>
      <w:r w:rsidR="007E3D9D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 shall coordinate and assist with a</w:t>
      </w:r>
      <w:r w:rsidR="002F7E4E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ll </w:t>
      </w:r>
      <w:r w:rsidR="007E3D9D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>purchases of hardware, software, and IT services with a value of $5,000 or greater.</w:t>
      </w:r>
    </w:p>
    <w:p w14:paraId="5D70C3D1" w14:textId="77777777" w:rsidR="001154CE" w:rsidRPr="001154CE" w:rsidRDefault="001154CE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</w:pPr>
    </w:p>
    <w:p w14:paraId="4A1512F3" w14:textId="77777777" w:rsidR="007E3D9D" w:rsidRPr="001154CE" w:rsidRDefault="00932F07" w:rsidP="001154CE">
      <w:pPr>
        <w:pStyle w:val="ListParagraph"/>
        <w:spacing w:after="150" w:line="312" w:lineRule="atLeast"/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52</w:t>
      </w:r>
      <w:r w:rsidR="001154CE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>9</w:t>
      </w:r>
      <w:r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.00 </w:t>
      </w:r>
      <w:r w:rsidR="007E3D9D">
        <w:rPr>
          <w:rFonts w:ascii="Helvetica" w:eastAsia="Times New Roman" w:hAnsi="Helvetica" w:cs="Helvetica"/>
          <w:b/>
          <w:bCs/>
          <w:color w:val="2F5496" w:themeColor="accent5" w:themeShade="BF"/>
          <w:sz w:val="23"/>
          <w:szCs w:val="23"/>
        </w:rPr>
        <w:t xml:space="preserve">Policy Application.  </w:t>
      </w:r>
      <w:r w:rsidR="007E3D9D">
        <w:rPr>
          <w:rFonts w:ascii="Helvetica" w:eastAsia="Times New Roman" w:hAnsi="Helvetica" w:cs="Helvetica"/>
          <w:bCs/>
          <w:color w:val="2F5496" w:themeColor="accent5" w:themeShade="BF"/>
          <w:sz w:val="23"/>
          <w:szCs w:val="23"/>
        </w:rPr>
        <w:t xml:space="preserve">This Policy applies to all IT purchasing, regardless of the delegation of authority in Section 310.00.   </w:t>
      </w:r>
    </w:p>
    <w:p w14:paraId="2584CEF1" w14:textId="77777777" w:rsidR="00223263" w:rsidRPr="00223263" w:rsidRDefault="00C1658F" w:rsidP="00223263">
      <w:pPr>
        <w:spacing w:before="300" w:after="30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 w14:anchorId="39800E35">
          <v:rect id="_x0000_i1025" style="width:0;height:.75pt" o:hralign="center" o:hrstd="t" o:hrnoshade="t" o:hr="t" fillcolor="black" stroked="f"/>
        </w:pict>
      </w:r>
    </w:p>
    <w:p w14:paraId="7303C525" w14:textId="77777777" w:rsidR="00223263" w:rsidRPr="00223263" w:rsidRDefault="00223263" w:rsidP="00223263">
      <w:pPr>
        <w:spacing w:after="15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23263">
        <w:rPr>
          <w:rFonts w:ascii="Arial" w:eastAsia="Times New Roman" w:hAnsi="Arial" w:cs="Arial"/>
          <w:color w:val="000000"/>
          <w:sz w:val="20"/>
          <w:szCs w:val="20"/>
        </w:rPr>
        <w:lastRenderedPageBreak/>
        <w:t>  </w:t>
      </w:r>
      <w:hyperlink r:id="rId14" w:history="1">
        <w:r w:rsidRPr="00223263">
          <w:rPr>
            <w:rFonts w:ascii="Arial" w:eastAsia="Times New Roman" w:hAnsi="Arial" w:cs="Arial"/>
            <w:color w:val="551A8B"/>
            <w:sz w:val="20"/>
            <w:szCs w:val="20"/>
            <w:u w:val="single"/>
          </w:rPr>
          <w:t>Table of Contents</w:t>
        </w:r>
      </w:hyperlink>
      <w:r w:rsidRPr="0022326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2AF1539" w14:textId="77777777" w:rsidR="00223263" w:rsidRPr="00223263" w:rsidRDefault="00223263" w:rsidP="0022326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23263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14:paraId="41CE246B" w14:textId="77777777" w:rsidR="00223263" w:rsidRPr="00223263" w:rsidRDefault="00C1658F" w:rsidP="00223263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223263" w:rsidRPr="00223263">
          <w:rPr>
            <w:rFonts w:ascii="Times New Roman" w:eastAsia="Times New Roman" w:hAnsi="Times New Roman" w:cs="Times New Roman"/>
            <w:color w:val="585858"/>
            <w:sz w:val="24"/>
            <w:szCs w:val="24"/>
            <w:u w:val="single"/>
          </w:rPr>
          <w:t>© Montana State University</w:t>
        </w:r>
      </w:hyperlink>
    </w:p>
    <w:p w14:paraId="1C57E854" w14:textId="77777777" w:rsidR="00223263" w:rsidRPr="00223263" w:rsidRDefault="00C1658F" w:rsidP="00223263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223263" w:rsidRPr="00223263">
          <w:rPr>
            <w:rFonts w:ascii="Times New Roman" w:eastAsia="Times New Roman" w:hAnsi="Times New Roman" w:cs="Times New Roman"/>
            <w:color w:val="585858"/>
            <w:sz w:val="24"/>
            <w:szCs w:val="24"/>
            <w:u w:val="single"/>
          </w:rPr>
          <w:t>Accessibility</w:t>
        </w:r>
      </w:hyperlink>
    </w:p>
    <w:p w14:paraId="73788E9E" w14:textId="77777777" w:rsidR="00223263" w:rsidRPr="00223263" w:rsidRDefault="00C1658F" w:rsidP="00223263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223263" w:rsidRPr="00223263">
          <w:rPr>
            <w:rFonts w:ascii="Times New Roman" w:eastAsia="Times New Roman" w:hAnsi="Times New Roman" w:cs="Times New Roman"/>
            <w:color w:val="585858"/>
            <w:sz w:val="24"/>
            <w:szCs w:val="24"/>
            <w:u w:val="single"/>
          </w:rPr>
          <w:t>Admissions</w:t>
        </w:r>
      </w:hyperlink>
    </w:p>
    <w:p w14:paraId="730434C3" w14:textId="77777777" w:rsidR="00223263" w:rsidRPr="00223263" w:rsidRDefault="00C1658F" w:rsidP="00223263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223263" w:rsidRPr="00223263">
          <w:rPr>
            <w:rFonts w:ascii="Times New Roman" w:eastAsia="Times New Roman" w:hAnsi="Times New Roman" w:cs="Times New Roman"/>
            <w:color w:val="585858"/>
            <w:sz w:val="24"/>
            <w:szCs w:val="24"/>
            <w:u w:val="single"/>
          </w:rPr>
          <w:t>Administration</w:t>
        </w:r>
      </w:hyperlink>
    </w:p>
    <w:p w14:paraId="0369164D" w14:textId="77777777" w:rsidR="00223263" w:rsidRPr="00223263" w:rsidRDefault="00C1658F" w:rsidP="00223263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223263" w:rsidRPr="00223263">
          <w:rPr>
            <w:rFonts w:ascii="Times New Roman" w:eastAsia="Times New Roman" w:hAnsi="Times New Roman" w:cs="Times New Roman"/>
            <w:color w:val="585858"/>
            <w:sz w:val="24"/>
            <w:szCs w:val="24"/>
            <w:u w:val="single"/>
          </w:rPr>
          <w:t>Contact List</w:t>
        </w:r>
      </w:hyperlink>
    </w:p>
    <w:p w14:paraId="71894C61" w14:textId="77777777" w:rsidR="00223263" w:rsidRPr="00223263" w:rsidRDefault="00C1658F" w:rsidP="00223263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223263" w:rsidRPr="00223263">
          <w:rPr>
            <w:rFonts w:ascii="Times New Roman" w:eastAsia="Times New Roman" w:hAnsi="Times New Roman" w:cs="Times New Roman"/>
            <w:color w:val="585858"/>
            <w:sz w:val="24"/>
            <w:szCs w:val="24"/>
            <w:u w:val="single"/>
          </w:rPr>
          <w:t>Jobs</w:t>
        </w:r>
      </w:hyperlink>
    </w:p>
    <w:p w14:paraId="3B441F39" w14:textId="77777777" w:rsidR="00223263" w:rsidRPr="00223263" w:rsidRDefault="00C1658F" w:rsidP="00223263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223263" w:rsidRPr="00223263">
          <w:rPr>
            <w:rFonts w:ascii="Times New Roman" w:eastAsia="Times New Roman" w:hAnsi="Times New Roman" w:cs="Times New Roman"/>
            <w:color w:val="585858"/>
            <w:sz w:val="24"/>
            <w:szCs w:val="24"/>
            <w:u w:val="single"/>
          </w:rPr>
          <w:t>Legal &amp; Trademarks</w:t>
        </w:r>
      </w:hyperlink>
    </w:p>
    <w:p w14:paraId="3F6E9C75" w14:textId="77777777" w:rsidR="00223263" w:rsidRPr="00223263" w:rsidRDefault="00C1658F" w:rsidP="00223263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223263" w:rsidRPr="00223263">
          <w:rPr>
            <w:rFonts w:ascii="Times New Roman" w:eastAsia="Times New Roman" w:hAnsi="Times New Roman" w:cs="Times New Roman"/>
            <w:color w:val="585858"/>
            <w:sz w:val="24"/>
            <w:szCs w:val="24"/>
            <w:u w:val="single"/>
          </w:rPr>
          <w:t>Privacy Policy</w:t>
        </w:r>
      </w:hyperlink>
    </w:p>
    <w:p w14:paraId="11750AAD" w14:textId="77777777" w:rsidR="00223263" w:rsidRPr="00223263" w:rsidRDefault="00C1658F" w:rsidP="00223263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223263" w:rsidRPr="00223263">
          <w:rPr>
            <w:rFonts w:ascii="Times New Roman" w:eastAsia="Times New Roman" w:hAnsi="Times New Roman" w:cs="Times New Roman"/>
            <w:color w:val="585858"/>
            <w:sz w:val="24"/>
            <w:szCs w:val="24"/>
            <w:u w:val="single"/>
          </w:rPr>
          <w:t>Site Index</w:t>
        </w:r>
      </w:hyperlink>
    </w:p>
    <w:p w14:paraId="52273DFA" w14:textId="77777777" w:rsidR="00223263" w:rsidRPr="00223263" w:rsidRDefault="00C1658F" w:rsidP="0022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223263" w:rsidRPr="00223263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</w:rPr>
          <w:t> </w:t>
        </w:r>
      </w:hyperlink>
    </w:p>
    <w:p w14:paraId="46818353" w14:textId="77777777" w:rsidR="00E1389F" w:rsidRDefault="00C1658F"/>
    <w:sectPr w:rsidR="00E1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6CD"/>
    <w:multiLevelType w:val="multilevel"/>
    <w:tmpl w:val="8BA2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70683"/>
    <w:multiLevelType w:val="multilevel"/>
    <w:tmpl w:val="0EBE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27B6F"/>
    <w:multiLevelType w:val="multilevel"/>
    <w:tmpl w:val="506C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2626B"/>
    <w:multiLevelType w:val="multilevel"/>
    <w:tmpl w:val="F842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C19EF"/>
    <w:multiLevelType w:val="multilevel"/>
    <w:tmpl w:val="188A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225FE"/>
    <w:multiLevelType w:val="multilevel"/>
    <w:tmpl w:val="7A0E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1B003C"/>
    <w:multiLevelType w:val="multilevel"/>
    <w:tmpl w:val="43988A3C"/>
    <w:lvl w:ilvl="0">
      <w:start w:val="52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1">
      <w:lvl w:ilvl="1">
        <w:numFmt w:val="decimal"/>
        <w:lvlText w:val="%2."/>
        <w:lvlJc w:val="left"/>
      </w:lvl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63"/>
    <w:rsid w:val="00031A0A"/>
    <w:rsid w:val="00031DD9"/>
    <w:rsid w:val="00052377"/>
    <w:rsid w:val="0007128C"/>
    <w:rsid w:val="000D5994"/>
    <w:rsid w:val="00107A22"/>
    <w:rsid w:val="001154CE"/>
    <w:rsid w:val="001211E1"/>
    <w:rsid w:val="00180CDE"/>
    <w:rsid w:val="001874C9"/>
    <w:rsid w:val="001D109E"/>
    <w:rsid w:val="00207053"/>
    <w:rsid w:val="002168A0"/>
    <w:rsid w:val="0022244B"/>
    <w:rsid w:val="00223263"/>
    <w:rsid w:val="00253D46"/>
    <w:rsid w:val="002D7D48"/>
    <w:rsid w:val="002E0771"/>
    <w:rsid w:val="002F7E4E"/>
    <w:rsid w:val="003E1818"/>
    <w:rsid w:val="003E664F"/>
    <w:rsid w:val="004271D8"/>
    <w:rsid w:val="00427679"/>
    <w:rsid w:val="00446413"/>
    <w:rsid w:val="00473002"/>
    <w:rsid w:val="004A344E"/>
    <w:rsid w:val="004B0258"/>
    <w:rsid w:val="004C6FCF"/>
    <w:rsid w:val="005126F6"/>
    <w:rsid w:val="00544D5A"/>
    <w:rsid w:val="005545DD"/>
    <w:rsid w:val="005F4A1F"/>
    <w:rsid w:val="006A48CF"/>
    <w:rsid w:val="006B1747"/>
    <w:rsid w:val="00731591"/>
    <w:rsid w:val="00732A03"/>
    <w:rsid w:val="00751E68"/>
    <w:rsid w:val="00760D3E"/>
    <w:rsid w:val="00770327"/>
    <w:rsid w:val="007C1587"/>
    <w:rsid w:val="007D4465"/>
    <w:rsid w:val="007E3D9D"/>
    <w:rsid w:val="00840A54"/>
    <w:rsid w:val="00885774"/>
    <w:rsid w:val="00892532"/>
    <w:rsid w:val="008E4E4B"/>
    <w:rsid w:val="00900DF3"/>
    <w:rsid w:val="009312ED"/>
    <w:rsid w:val="00932F07"/>
    <w:rsid w:val="0095196D"/>
    <w:rsid w:val="009537B8"/>
    <w:rsid w:val="009B12A7"/>
    <w:rsid w:val="009F0296"/>
    <w:rsid w:val="00A03D17"/>
    <w:rsid w:val="00A26895"/>
    <w:rsid w:val="00A7749F"/>
    <w:rsid w:val="00A82B30"/>
    <w:rsid w:val="00AA05D8"/>
    <w:rsid w:val="00B1617C"/>
    <w:rsid w:val="00B30CE1"/>
    <w:rsid w:val="00B35A2A"/>
    <w:rsid w:val="00B47BE5"/>
    <w:rsid w:val="00B5785C"/>
    <w:rsid w:val="00BC7D99"/>
    <w:rsid w:val="00BF2AFC"/>
    <w:rsid w:val="00C1658F"/>
    <w:rsid w:val="00C93502"/>
    <w:rsid w:val="00CB243D"/>
    <w:rsid w:val="00CB71A4"/>
    <w:rsid w:val="00D13558"/>
    <w:rsid w:val="00D423D7"/>
    <w:rsid w:val="00D71730"/>
    <w:rsid w:val="00DB2920"/>
    <w:rsid w:val="00DE2297"/>
    <w:rsid w:val="00DF385E"/>
    <w:rsid w:val="00E20809"/>
    <w:rsid w:val="00E57C71"/>
    <w:rsid w:val="00E84668"/>
    <w:rsid w:val="00EF6873"/>
    <w:rsid w:val="00F17533"/>
    <w:rsid w:val="00F62EDF"/>
    <w:rsid w:val="00F63C13"/>
    <w:rsid w:val="00F663E2"/>
    <w:rsid w:val="00F81C03"/>
    <w:rsid w:val="00FA6631"/>
    <w:rsid w:val="00FD03D1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681746"/>
  <w15:chartTrackingRefBased/>
  <w15:docId w15:val="{C178159E-0DBB-4C7F-99FE-014A1A13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3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23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2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232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32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3263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2232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32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32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2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32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32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C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0D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DF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D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6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0220">
                  <w:marLeft w:val="0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59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C4A62E"/>
                    <w:right w:val="none" w:sz="0" w:space="0" w:color="auto"/>
                  </w:divBdr>
                </w:div>
                <w:div w:id="8892723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C4A62E"/>
                    <w:right w:val="none" w:sz="0" w:space="0" w:color="auto"/>
                  </w:divBdr>
                </w:div>
              </w:divsChild>
            </w:div>
          </w:divsChild>
        </w:div>
        <w:div w:id="662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ntana.edu/policy" TargetMode="External"/><Relationship Id="rId18" Type="http://schemas.openxmlformats.org/officeDocument/2006/relationships/hyperlink" Target="http://www.montana.edu/admi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ontana.edu/legal/" TargetMode="External"/><Relationship Id="rId7" Type="http://schemas.openxmlformats.org/officeDocument/2006/relationships/hyperlink" Target="http://www.montana.edu/" TargetMode="External"/><Relationship Id="rId12" Type="http://schemas.openxmlformats.org/officeDocument/2006/relationships/hyperlink" Target="http://www.montana.edu/policy/purchasing/purch500.html" TargetMode="External"/><Relationship Id="rId17" Type="http://schemas.openxmlformats.org/officeDocument/2006/relationships/hyperlink" Target="http://www.montana.edu/admission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ntana.edu/accessibility/" TargetMode="External"/><Relationship Id="rId20" Type="http://schemas.openxmlformats.org/officeDocument/2006/relationships/hyperlink" Target="http://www.montana.edu/job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tana.edu/people/" TargetMode="External"/><Relationship Id="rId11" Type="http://schemas.openxmlformats.org/officeDocument/2006/relationships/hyperlink" Target="http://www.montana.edu/policy/purchasing/purch500.html" TargetMode="External"/><Relationship Id="rId24" Type="http://schemas.openxmlformats.org/officeDocument/2006/relationships/hyperlink" Target="http://cms.msu.montana.edu/10?skin=oucampus&amp;account=MSU-Bozeman&amp;site=Policy&amp;action=de&amp;path=%2Fpurchasing%2Fpurch500.pcf" TargetMode="External"/><Relationship Id="rId5" Type="http://schemas.openxmlformats.org/officeDocument/2006/relationships/hyperlink" Target="http://www.montana.edu/siteindex/" TargetMode="External"/><Relationship Id="rId15" Type="http://schemas.openxmlformats.org/officeDocument/2006/relationships/hyperlink" Target="http://www.montana.edu/" TargetMode="External"/><Relationship Id="rId23" Type="http://schemas.openxmlformats.org/officeDocument/2006/relationships/hyperlink" Target="http://www.montana.edu/siteindex/" TargetMode="External"/><Relationship Id="rId10" Type="http://schemas.openxmlformats.org/officeDocument/2006/relationships/hyperlink" Target="http://www.montana.edu/policy/purchasing/" TargetMode="External"/><Relationship Id="rId19" Type="http://schemas.openxmlformats.org/officeDocument/2006/relationships/hyperlink" Target="http://www.montana.edu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tana.edu/policy/" TargetMode="External"/><Relationship Id="rId14" Type="http://schemas.openxmlformats.org/officeDocument/2006/relationships/hyperlink" Target="http://www.montana.edu/policy/purchasing/index.html" TargetMode="External"/><Relationship Id="rId22" Type="http://schemas.openxmlformats.org/officeDocument/2006/relationships/hyperlink" Target="http://www.montana.edu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Merrell, Pamela</dc:creator>
  <cp:keywords/>
  <dc:description/>
  <cp:lastModifiedBy>Edelman, Adam</cp:lastModifiedBy>
  <cp:revision>3</cp:revision>
  <cp:lastPrinted>2016-08-16T17:21:00Z</cp:lastPrinted>
  <dcterms:created xsi:type="dcterms:W3CDTF">2017-03-28T21:46:00Z</dcterms:created>
  <dcterms:modified xsi:type="dcterms:W3CDTF">2017-03-29T12:47:00Z</dcterms:modified>
</cp:coreProperties>
</file>